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6E" w:rsidRDefault="001B58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586E" w:rsidRDefault="001B586E">
      <w:pPr>
        <w:pStyle w:val="ConsPlusNormal"/>
        <w:jc w:val="both"/>
        <w:outlineLvl w:val="0"/>
      </w:pPr>
    </w:p>
    <w:p w:rsidR="001B586E" w:rsidRDefault="001B586E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1B586E" w:rsidRDefault="001B586E">
      <w:pPr>
        <w:pStyle w:val="ConsPlusTitle"/>
        <w:jc w:val="both"/>
      </w:pPr>
    </w:p>
    <w:p w:rsidR="001B586E" w:rsidRDefault="001B586E">
      <w:pPr>
        <w:pStyle w:val="ConsPlusTitle"/>
        <w:jc w:val="center"/>
      </w:pPr>
      <w:r>
        <w:t>ПОСТАНОВЛЕНИЕ</w:t>
      </w:r>
    </w:p>
    <w:p w:rsidR="001B586E" w:rsidRDefault="001B586E">
      <w:pPr>
        <w:pStyle w:val="ConsPlusTitle"/>
        <w:jc w:val="center"/>
      </w:pPr>
      <w:r>
        <w:t>от 18 июля 2019 г. N 454</w:t>
      </w:r>
    </w:p>
    <w:p w:rsidR="001B586E" w:rsidRDefault="001B586E">
      <w:pPr>
        <w:pStyle w:val="ConsPlusTitle"/>
        <w:jc w:val="both"/>
      </w:pPr>
    </w:p>
    <w:p w:rsidR="001B586E" w:rsidRDefault="001B586E">
      <w:pPr>
        <w:pStyle w:val="ConsPlusTitle"/>
        <w:jc w:val="center"/>
      </w:pPr>
      <w:r>
        <w:t>ОБ УТВЕРЖДЕНИИ МУНИЦИПАЛЬНОЙ ПРОГРАММЫ ГОРОДСКОГО ОКРУГА</w:t>
      </w:r>
    </w:p>
    <w:p w:rsidR="001B586E" w:rsidRDefault="001B586E">
      <w:pPr>
        <w:pStyle w:val="ConsPlusTitle"/>
        <w:jc w:val="center"/>
      </w:pPr>
      <w:r>
        <w:t>САМАРА "ОЗДОРОВЛЕНИЕ ВОЛГИ" НА 2019 - 2024 ГОДЫ</w:t>
      </w:r>
    </w:p>
    <w:p w:rsidR="001B586E" w:rsidRDefault="001B5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>от 21.10.2019 N 774)</w:t>
            </w:r>
          </w:p>
        </w:tc>
      </w:tr>
    </w:tbl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21.07.2014 N 219-ФЗ "О внесении изменений в Федеральный закон "Об охране окружающей среды" и отдельные законодательные акты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Самара постановляю: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городского округа Самара "Оздоровление Волги" на 2019 - 2024 годы.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городского округа Самара Василенко В.А.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right"/>
      </w:pPr>
      <w:r>
        <w:t>Исполняющий обязанности Главы</w:t>
      </w:r>
    </w:p>
    <w:p w:rsidR="001B586E" w:rsidRDefault="001B586E">
      <w:pPr>
        <w:pStyle w:val="ConsPlusNormal"/>
        <w:jc w:val="right"/>
      </w:pPr>
      <w:r>
        <w:t>городского округа</w:t>
      </w:r>
    </w:p>
    <w:p w:rsidR="001B586E" w:rsidRDefault="001B586E">
      <w:pPr>
        <w:pStyle w:val="ConsPlusNormal"/>
        <w:jc w:val="right"/>
      </w:pPr>
      <w:r>
        <w:t>В.А.ВАСИЛЕНКО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right"/>
        <w:outlineLvl w:val="0"/>
      </w:pPr>
      <w:r>
        <w:t>Утверждена</w:t>
      </w:r>
    </w:p>
    <w:p w:rsidR="001B586E" w:rsidRDefault="001B586E">
      <w:pPr>
        <w:pStyle w:val="ConsPlusNormal"/>
        <w:jc w:val="right"/>
      </w:pPr>
      <w:r>
        <w:t>Постановлением</w:t>
      </w:r>
    </w:p>
    <w:p w:rsidR="001B586E" w:rsidRDefault="001B586E">
      <w:pPr>
        <w:pStyle w:val="ConsPlusNormal"/>
        <w:jc w:val="right"/>
      </w:pPr>
      <w:r>
        <w:t>Администрации городского округа Самара</w:t>
      </w:r>
    </w:p>
    <w:p w:rsidR="001B586E" w:rsidRDefault="001B586E">
      <w:pPr>
        <w:pStyle w:val="ConsPlusNormal"/>
        <w:jc w:val="right"/>
      </w:pPr>
      <w:r>
        <w:t>от 18 июля 2019 г. N 454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</w:pPr>
      <w:bookmarkStart w:id="0" w:name="P30"/>
      <w:bookmarkEnd w:id="0"/>
      <w:r>
        <w:t>МУНИЦИПАЛЬНАЯ ПРОГРАММА</w:t>
      </w:r>
    </w:p>
    <w:p w:rsidR="001B586E" w:rsidRDefault="001B586E">
      <w:pPr>
        <w:pStyle w:val="ConsPlusTitle"/>
        <w:jc w:val="center"/>
      </w:pPr>
      <w:r>
        <w:t>ГОРОДСКОГО ОКРУГА САМАРА "ОЗДОРОВЛЕНИЕ ВОЛГИ"</w:t>
      </w:r>
    </w:p>
    <w:p w:rsidR="001B586E" w:rsidRDefault="001B586E">
      <w:pPr>
        <w:pStyle w:val="ConsPlusTitle"/>
        <w:jc w:val="center"/>
      </w:pPr>
      <w:r>
        <w:t>НА 2019 - 2024 ГОДЫ</w:t>
      </w:r>
    </w:p>
    <w:p w:rsidR="001B586E" w:rsidRDefault="001B586E">
      <w:pPr>
        <w:pStyle w:val="ConsPlusTitle"/>
        <w:jc w:val="center"/>
      </w:pPr>
      <w:r>
        <w:t>(далее - муниципальная программа)</w:t>
      </w:r>
    </w:p>
    <w:p w:rsidR="001B586E" w:rsidRDefault="001B5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>от 21.10.2019 N 774)</w:t>
            </w:r>
          </w:p>
        </w:tc>
      </w:tr>
    </w:tbl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ПАСПОРТ МУНИЦИПАЛЬНОЙ ПРОГРАММЫ</w:t>
      </w:r>
    </w:p>
    <w:p w:rsidR="001B586E" w:rsidRDefault="001B58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43"/>
      </w:tblGrid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муниципальная программа городского округа Самара "Оздоровление Волги" на 2019 - 2024 годы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поручение Главы городского округа Самара от 22.05.2019 N 1-03/2/3754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модернизация системы очистки сточных вод в городском округе Самара в рамках Федерального проекта "Оздоровление Волги"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реконструкция очистных сооружений предприятий водопроводно-канализационного хозяйства городского округа Самара, сбрасывающих загрязненные сточные воды в реку Волгу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объем загрязненных сточных вод, сбрасываемых предприятиями водопроводно-канализационного хозяйства городского округа Самара в реку Волгу;</w:t>
            </w:r>
          </w:p>
          <w:p w:rsidR="001B586E" w:rsidRDefault="001B586E">
            <w:pPr>
              <w:pStyle w:val="ConsPlusNormal"/>
              <w:jc w:val="both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хлоридам (С</w:t>
            </w:r>
            <w:r>
              <w:rPr>
                <w:vertAlign w:val="subscript"/>
              </w:rPr>
              <w:t>cl4-</w:t>
            </w:r>
            <w:r>
              <w:t>);</w:t>
            </w:r>
          </w:p>
          <w:p w:rsidR="001B586E" w:rsidRDefault="001B586E">
            <w:pPr>
              <w:pStyle w:val="ConsPlusNormal"/>
              <w:jc w:val="both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хлороформу;</w:t>
            </w:r>
          </w:p>
          <w:p w:rsidR="001B586E" w:rsidRDefault="001B586E">
            <w:pPr>
              <w:pStyle w:val="ConsPlusNormal"/>
              <w:jc w:val="both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ионам аммония;</w:t>
            </w:r>
          </w:p>
          <w:p w:rsidR="001B586E" w:rsidRDefault="001B586E">
            <w:pPr>
              <w:pStyle w:val="ConsPlusNormal"/>
              <w:jc w:val="both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нитрит-ионам;</w:t>
            </w:r>
          </w:p>
          <w:p w:rsidR="001B586E" w:rsidRDefault="001B586E">
            <w:pPr>
              <w:pStyle w:val="ConsPlusNormal"/>
              <w:jc w:val="both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нитрат-ионам;</w:t>
            </w:r>
          </w:p>
          <w:p w:rsidR="001B586E" w:rsidRDefault="001B586E">
            <w:pPr>
              <w:pStyle w:val="ConsPlusNormal"/>
              <w:jc w:val="both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фосфат-ионам;</w:t>
            </w:r>
          </w:p>
          <w:p w:rsidR="001B586E" w:rsidRDefault="001B586E">
            <w:pPr>
              <w:pStyle w:val="ConsPlusNormal"/>
              <w:jc w:val="both"/>
            </w:pPr>
            <w:r>
              <w:t>количество реконструированных объектов на очистных сооружениях предприятий водопроводно-канализационного хозяйства городского округа Самара, сбрасывающих загрязненные сточные воды в реку Волгу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 xml:space="preserve">ЭТАПЫ И СРОКИ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 xml:space="preserve">2019 - 2024 годы. Муниципальная программа не предусматривает выделение отдельных этапов, </w:t>
            </w:r>
            <w:r>
              <w:lastRenderedPageBreak/>
              <w:t>поскольку мероприятия рассчитаны на реализацию в течение всего периода действия муниципальной программы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финансирование мероприятий Программы планируется осуществить в размере 2 074 292,88 тыс. рублей, в том числе:</w:t>
            </w:r>
          </w:p>
          <w:p w:rsidR="001B586E" w:rsidRDefault="001B586E">
            <w:pPr>
              <w:pStyle w:val="ConsPlusNormal"/>
              <w:jc w:val="both"/>
            </w:pPr>
            <w:r>
              <w:t>за счет средств бюджета городского округа Самара 16 612,50 тыс. рублей, в том числе:</w:t>
            </w:r>
          </w:p>
          <w:p w:rsidR="001B586E" w:rsidRDefault="001B586E">
            <w:pPr>
              <w:pStyle w:val="ConsPlusNormal"/>
              <w:jc w:val="both"/>
            </w:pPr>
            <w:r>
              <w:t>в 2019 году - 4 004,00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2020 году - 1 375,00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2021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2022 году - 9 847,00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2023 году - 1 386,50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2024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за счет средств вышестоящих бюджетов - 762 460,38 тыс. рублей, в том числе:</w:t>
            </w:r>
          </w:p>
          <w:p w:rsidR="001B586E" w:rsidRDefault="001B586E">
            <w:pPr>
              <w:pStyle w:val="ConsPlusNormal"/>
              <w:jc w:val="both"/>
            </w:pPr>
            <w:r>
              <w:t>в 2019 году - 567 646,04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2020 году - 194 814,34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2021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2022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2023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2024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за счет средств внебюджетных источников - 1 295 220,00 тыс. рублей, в том числе:</w:t>
            </w:r>
          </w:p>
          <w:p w:rsidR="001B586E" w:rsidRDefault="001B586E">
            <w:pPr>
              <w:pStyle w:val="ConsPlusNormal"/>
              <w:jc w:val="both"/>
            </w:pPr>
            <w:r>
              <w:t>в 2019 году - 50 000,00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2020 году - 118 000,00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2021 году - 667 220,00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2022 году - 460 000,00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2023 году - 0,00 тыс. рублей;</w:t>
            </w:r>
          </w:p>
          <w:p w:rsidR="001B586E" w:rsidRDefault="001B586E">
            <w:pPr>
              <w:pStyle w:val="ConsPlusNormal"/>
              <w:jc w:val="both"/>
            </w:pPr>
            <w:r>
              <w:t>в 2024 году - 0,00 тыс. рублей.</w:t>
            </w:r>
          </w:p>
          <w:p w:rsidR="001B586E" w:rsidRDefault="001B586E">
            <w:pPr>
              <w:pStyle w:val="ConsPlusNormal"/>
              <w:jc w:val="both"/>
            </w:pPr>
            <w:r>
              <w:t>Финансирование Программы за счет средств областного бюджета осуществляется в объеме их фактического поступления в течение финансового года.</w:t>
            </w:r>
          </w:p>
          <w:p w:rsidR="001B586E" w:rsidRDefault="001B586E">
            <w:pPr>
              <w:pStyle w:val="ConsPlusNormal"/>
              <w:jc w:val="both"/>
            </w:pPr>
            <w:r>
              <w:t>Указанное положение не является основанием возникновения расходных обязательств, подлежащих исполнению за счет средств вышестоящих бюджетов.</w:t>
            </w:r>
          </w:p>
          <w:p w:rsidR="001B586E" w:rsidRDefault="001B586E">
            <w:pPr>
              <w:pStyle w:val="ConsPlusNormal"/>
              <w:jc w:val="both"/>
            </w:pPr>
            <w:r>
              <w:t>Расходные обязательства Самарской области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</w:t>
            </w:r>
          </w:p>
        </w:tc>
      </w:tr>
      <w:tr w:rsidR="001B586E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 xml:space="preserve">(раздел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21.10.2019 N 774)</w:t>
            </w:r>
          </w:p>
        </w:tc>
      </w:tr>
      <w:tr w:rsidR="001B586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B586E" w:rsidRDefault="001B586E">
            <w:pPr>
              <w:pStyle w:val="ConsPlusNormal"/>
              <w:jc w:val="both"/>
            </w:pPr>
            <w:r>
              <w:t>в результате реализации мероприятий, предусмотренных муниципальной программой, будет достигнут следующий эффект:</w:t>
            </w:r>
          </w:p>
          <w:p w:rsidR="001B586E" w:rsidRDefault="001B586E">
            <w:pPr>
              <w:pStyle w:val="ConsPlusNormal"/>
              <w:jc w:val="both"/>
            </w:pPr>
            <w:r>
              <w:t>1. Исключен сброс хлорорганических соединений в водоем (по сравнению с существующим положением) по показателям: хлороформ с 0,0076 мг/дм</w:t>
            </w:r>
            <w:r>
              <w:rPr>
                <w:vertAlign w:val="superscript"/>
              </w:rPr>
              <w:t>3</w:t>
            </w:r>
            <w:r>
              <w:t xml:space="preserve"> до 0 мг/дм</w:t>
            </w:r>
            <w:r>
              <w:rPr>
                <w:vertAlign w:val="superscript"/>
              </w:rPr>
              <w:t>3</w:t>
            </w:r>
            <w:r>
              <w:t xml:space="preserve"> (отсутствия), углерод четыреххлористый - с 0,0006 мг/дм</w:t>
            </w:r>
            <w:r>
              <w:rPr>
                <w:vertAlign w:val="superscript"/>
              </w:rPr>
              <w:t>3</w:t>
            </w:r>
            <w:r>
              <w:t xml:space="preserve"> до 0 мг/дм</w:t>
            </w:r>
            <w:r>
              <w:rPr>
                <w:vertAlign w:val="superscript"/>
              </w:rPr>
              <w:t>3</w:t>
            </w:r>
            <w:r>
              <w:t xml:space="preserve"> (отсутствия).</w:t>
            </w:r>
          </w:p>
          <w:p w:rsidR="001B586E" w:rsidRDefault="001B586E">
            <w:pPr>
              <w:pStyle w:val="ConsPlusNormal"/>
              <w:jc w:val="both"/>
            </w:pPr>
            <w:r>
              <w:t xml:space="preserve">2. Содержание загрязняющих веществ технологических </w:t>
            </w:r>
            <w:r>
              <w:lastRenderedPageBreak/>
              <w:t>показателей снизится: ион аммония с 4,6 мг/дм</w:t>
            </w:r>
            <w:r>
              <w:rPr>
                <w:vertAlign w:val="superscript"/>
              </w:rPr>
              <w:t>3</w:t>
            </w:r>
            <w:r>
              <w:t xml:space="preserve"> до 0,5 мг/дм</w:t>
            </w:r>
            <w:r>
              <w:rPr>
                <w:vertAlign w:val="superscript"/>
              </w:rPr>
              <w:t>3</w:t>
            </w:r>
            <w:r>
              <w:t>, нитрит-ион с 1,05 мг/дм</w:t>
            </w:r>
            <w:r>
              <w:rPr>
                <w:vertAlign w:val="superscript"/>
              </w:rPr>
              <w:t>3</w:t>
            </w:r>
            <w:r>
              <w:t xml:space="preserve"> до 0,08 мг/дм</w:t>
            </w:r>
            <w:r>
              <w:rPr>
                <w:vertAlign w:val="superscript"/>
              </w:rPr>
              <w:t>3</w:t>
            </w:r>
            <w:r>
              <w:t>, нитрат-ион с 47,9 мг/дм</w:t>
            </w:r>
            <w:r>
              <w:rPr>
                <w:vertAlign w:val="superscript"/>
              </w:rPr>
              <w:t>3</w:t>
            </w:r>
            <w:r>
              <w:t xml:space="preserve"> до 40,0 мг/дм</w:t>
            </w:r>
            <w:r>
              <w:rPr>
                <w:vertAlign w:val="superscript"/>
              </w:rPr>
              <w:t>3</w:t>
            </w:r>
            <w:r>
              <w:t>, фосфат-ион с 2,4 мг/дм</w:t>
            </w:r>
            <w:r>
              <w:rPr>
                <w:vertAlign w:val="superscript"/>
              </w:rPr>
              <w:t>3</w:t>
            </w:r>
            <w:r>
              <w:t xml:space="preserve"> до 0,2 мг/дм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1B586E" w:rsidRDefault="001B586E">
            <w:pPr>
              <w:pStyle w:val="ConsPlusNormal"/>
              <w:jc w:val="both"/>
            </w:pPr>
            <w:r>
              <w:t>Выполнение данных мероприятий, позволит довести параметры сточных вод после ГОКС г.о. Самара до нормативных по показателям: хлороформ, четыреххлористый углерод, ион аммония, нитрит-ион, нитрат-ион, фосфат-ион и повысит экологическую безопасность населения не только городского округа Самара, но и Самарской области в целом, повысит надежность Саратовского водохранилища как источника питьевого водоснабжения, обеспечит снижение уровня негативного воздействия на окружающую среду</w:t>
            </w:r>
          </w:p>
        </w:tc>
      </w:tr>
    </w:tbl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1. Характеристика проблемы, на решение которой</w:t>
      </w:r>
    </w:p>
    <w:p w:rsidR="001B586E" w:rsidRDefault="001B586E">
      <w:pPr>
        <w:pStyle w:val="ConsPlusTitle"/>
        <w:jc w:val="center"/>
      </w:pPr>
      <w:r>
        <w:t>направлена муниципальная программа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Сбор, транспортировка, очистка, обеззараживание сточных вод, поступающих от населения городского округа Самара (1 156 644 жителя по данным на 01.01.2019) и промышленных предприятий, и возврат очищенной сточной воды в Саратовское водохранилище реки Волги осуществляются системой водоотведения городского округа Самара. Городские очистные канализационные сооружения (далее - ГОКС) производительностью 1 млн. м</w:t>
      </w:r>
      <w:r>
        <w:rPr>
          <w:vertAlign w:val="superscript"/>
        </w:rPr>
        <w:t>3</w:t>
      </w:r>
      <w:r>
        <w:t>/сутки - один из главных объектов городского округа Самара, на котором происходит полная механическая, биологическая очистка и возврат в реку Волгу очищенных и обеззараженных городских сточных вод.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настоящее время на конечном этапе очистки происходит обеззараживание сточных вод жидким хлором, что приводит к образованию хлорорганических соединений и хлораминов, а также к наличию остаточного хлора, которые губительно действуют на биоценоз Саратовского водохранилища - приемника очищенных сточных вод.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Мощность ранее построенных сооружений УФ-обеззараживания первого этапа производительностью 50,0 тыс. м</w:t>
      </w:r>
      <w:r>
        <w:rPr>
          <w:vertAlign w:val="superscript"/>
        </w:rPr>
        <w:t>3</w:t>
      </w:r>
      <w:r>
        <w:t>/сутки не позволяет обеспечить обеззараживание всех сточных вод (159 553,58 тыс. м</w:t>
      </w:r>
      <w:r>
        <w:rPr>
          <w:vertAlign w:val="superscript"/>
        </w:rPr>
        <w:t>3</w:t>
      </w:r>
      <w:r>
        <w:t>/год), поступающих на ГОКС.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Проектно-сметная документация на второй этап строительства станции (полную производительность ГОКС 1,0 млн. м</w:t>
      </w:r>
      <w:r>
        <w:rPr>
          <w:vertAlign w:val="superscript"/>
        </w:rPr>
        <w:t>3</w:t>
      </w:r>
      <w:r>
        <w:t>/сутки) не разрабатывалась. Требуется провести реконструкцию системы УФ-обеззараживания очищенных сточных вод.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Сооружения механической и биологической очистки ГОКС работают удовлетворительно в соответствии с параметрами, заложенными в проектной документации. Однако в связи с ужесточением требований по нормативам допустимого сброса (НДС) загрязняющих веществ в Саратовское водохранилище (река Волга) - водоем рыбохозяйственного назначения первой категории водопользования - в настоящее время нормативы выполняются не по всем показателям.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Для достижения выполнения НДС при сбросе очищенных сточных вод в водоем (в том числе по фосфатам) необходимо проведение следующих видов работ: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реконструкция сооружений механической очистки сточных вод со строительством зданий решеток тонкой очистки;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lastRenderedPageBreak/>
        <w:t>реконструкция сооружений биологической очистки сточных вод с применением технологии нитрит-денитрификации;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реконструкция сооружений доочистки (для дефосфотизации сточных вод).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результате исследований по большинству показателей при реконструкции сооружений механической, биологической очистки и строительстве сооружений доочистки будут получены концентрации биогенных загрязнений ниже установленных норм НДС для ГОКС городского округа Самары.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2. Цели и задачи, этапы и сроки реализации муниципальной</w:t>
      </w:r>
    </w:p>
    <w:p w:rsidR="001B586E" w:rsidRDefault="001B586E">
      <w:pPr>
        <w:pStyle w:val="ConsPlusTitle"/>
        <w:jc w:val="center"/>
      </w:pPr>
      <w:r>
        <w:t>программы, конечные результаты ее реализации,</w:t>
      </w:r>
    </w:p>
    <w:p w:rsidR="001B586E" w:rsidRDefault="001B586E">
      <w:pPr>
        <w:pStyle w:val="ConsPlusTitle"/>
        <w:jc w:val="center"/>
      </w:pPr>
      <w:r>
        <w:t>характеризующие целевое состояние (изменение состояния)</w:t>
      </w:r>
    </w:p>
    <w:p w:rsidR="001B586E" w:rsidRDefault="001B586E">
      <w:pPr>
        <w:pStyle w:val="ConsPlusTitle"/>
        <w:jc w:val="center"/>
      </w:pPr>
      <w:r>
        <w:t>в сфере ее реализации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Целью реализации муниципальной программы является модернизация системы очистки сточных вод в городском округе Самара в рамках Федерального проекта "Оздоровление Волги". Для достижения поставленной цели в процессе реализации муниципальной программы должна решаться следующая задача - реконструкция очистных сооружений предприятий водопроводно-канализационного хозяйства городского округа Самара, сбрасывающих загрязненные сточные воды в реку Волгу.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Срок реализации муниципальной программы: 2019 - 2024 годы.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Реализация муниципальной программы не предусматривает выделение отдельных этапов, поскольку мероприятия рассчитаны на реализацию в течение всего периода действия муниципальной программы.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результате выполнения муниципальной программы значения максимального содержания загрязняющих веществ в сточных водах, поступающих через городские очистные канализационные сооружения в реку Волгу, не должны превышать утвержденных нормативов допустимого сброса (НДС), что обеспечит сокращение отведения в реку Волгу загрязненных сточных вод.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результате реализации мероприятий, предусмотренных муниципальной программой, будет достигнут следующий эффект: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1. Исключен сброс хлорорганических соединений в водоем (по сравнению с существующим положением) по показателям: хлороформ с 0,0076 мг/дм</w:t>
      </w:r>
      <w:r>
        <w:rPr>
          <w:vertAlign w:val="superscript"/>
        </w:rPr>
        <w:t>3</w:t>
      </w:r>
      <w:r>
        <w:t xml:space="preserve"> до 0 мг/дм</w:t>
      </w:r>
      <w:r>
        <w:rPr>
          <w:vertAlign w:val="superscript"/>
        </w:rPr>
        <w:t>3</w:t>
      </w:r>
      <w:r>
        <w:t xml:space="preserve"> (отсутствия), углерод четыреххлористый - с 0,0006 мг/дм</w:t>
      </w:r>
      <w:r>
        <w:rPr>
          <w:vertAlign w:val="superscript"/>
        </w:rPr>
        <w:t>3</w:t>
      </w:r>
      <w:r>
        <w:t xml:space="preserve"> до 0 мг/дм</w:t>
      </w:r>
      <w:r>
        <w:rPr>
          <w:vertAlign w:val="superscript"/>
        </w:rPr>
        <w:t>3</w:t>
      </w:r>
      <w:r>
        <w:t xml:space="preserve"> (отсутствия).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2. Содержание загрязняющих веществ технологических показателей снизится: ион аммония с 4,6 мг/дм</w:t>
      </w:r>
      <w:r>
        <w:rPr>
          <w:vertAlign w:val="superscript"/>
        </w:rPr>
        <w:t>3</w:t>
      </w:r>
      <w:r>
        <w:t xml:space="preserve"> до 0,5 мг/дм</w:t>
      </w:r>
      <w:r>
        <w:rPr>
          <w:vertAlign w:val="superscript"/>
        </w:rPr>
        <w:t>3</w:t>
      </w:r>
      <w:r>
        <w:t>, нитрит-ион с 1,05 мг/дм</w:t>
      </w:r>
      <w:r>
        <w:rPr>
          <w:vertAlign w:val="superscript"/>
        </w:rPr>
        <w:t>3</w:t>
      </w:r>
      <w:r>
        <w:t xml:space="preserve"> до 0,08 мг/дм</w:t>
      </w:r>
      <w:r>
        <w:rPr>
          <w:vertAlign w:val="superscript"/>
        </w:rPr>
        <w:t>3</w:t>
      </w:r>
      <w:r>
        <w:t>, нитрат-ион с 47,9 мг/дм</w:t>
      </w:r>
      <w:r>
        <w:rPr>
          <w:vertAlign w:val="superscript"/>
        </w:rPr>
        <w:t>3</w:t>
      </w:r>
      <w:r>
        <w:t xml:space="preserve"> до 40,0 мг/дм</w:t>
      </w:r>
      <w:r>
        <w:rPr>
          <w:vertAlign w:val="superscript"/>
        </w:rPr>
        <w:t>3</w:t>
      </w:r>
      <w:r>
        <w:t>, фосфат-ион с 2,4 мг/дм</w:t>
      </w:r>
      <w:r>
        <w:rPr>
          <w:vertAlign w:val="superscript"/>
        </w:rPr>
        <w:t>3</w:t>
      </w:r>
      <w:r>
        <w:t xml:space="preserve"> до 0,2 мг/дм</w:t>
      </w:r>
      <w:r>
        <w:rPr>
          <w:vertAlign w:val="superscript"/>
        </w:rPr>
        <w:t>3</w:t>
      </w:r>
      <w:r>
        <w:t>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Реализация муниципальной программы позволит довести параметры сточных вод после ГОКС г.о. Самара до нормативных по показателям: хлороформ, четыреххлористый углерод, ион аммония, нитрит-ион, нитрат-ион, фосфат-ион, - и повысит экологическую безопасность населения не только городского округа Самара, но и Самарской области в целом, повысит надежность Саратовского водохранилища как источника питьевого водоснабжения, обеспечит снижение уровня негативного воздействия на окружающую среду.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3. Перечень показателей (индикаторов) муниципальной</w:t>
      </w:r>
    </w:p>
    <w:p w:rsidR="001B586E" w:rsidRDefault="001B586E">
      <w:pPr>
        <w:pStyle w:val="ConsPlusTitle"/>
        <w:jc w:val="center"/>
      </w:pPr>
      <w:r>
        <w:t>программы с расшифровкой плановых значений по годам ее</w:t>
      </w:r>
    </w:p>
    <w:p w:rsidR="001B586E" w:rsidRDefault="001B586E">
      <w:pPr>
        <w:pStyle w:val="ConsPlusTitle"/>
        <w:jc w:val="center"/>
      </w:pPr>
      <w:r>
        <w:t>реализации и за весь период ее реализации</w:t>
      </w:r>
    </w:p>
    <w:p w:rsidR="001B586E" w:rsidRDefault="001B586E">
      <w:pPr>
        <w:pStyle w:val="ConsPlusNormal"/>
        <w:jc w:val="center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</w:p>
    <w:p w:rsidR="001B586E" w:rsidRDefault="001B586E">
      <w:pPr>
        <w:pStyle w:val="ConsPlusNormal"/>
        <w:jc w:val="center"/>
      </w:pPr>
      <w:r>
        <w:t>от 21.10.2019 N 774)</w:t>
      </w:r>
    </w:p>
    <w:p w:rsidR="001B586E" w:rsidRDefault="001B586E">
      <w:pPr>
        <w:pStyle w:val="ConsPlusNormal"/>
        <w:jc w:val="both"/>
      </w:pPr>
    </w:p>
    <w:p w:rsidR="001B586E" w:rsidRDefault="001B586E">
      <w:pPr>
        <w:sectPr w:rsidR="001B586E" w:rsidSect="00C77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964"/>
        <w:gridCol w:w="1609"/>
        <w:gridCol w:w="1609"/>
        <w:gridCol w:w="1609"/>
        <w:gridCol w:w="1609"/>
        <w:gridCol w:w="1612"/>
        <w:gridCol w:w="944"/>
        <w:gridCol w:w="944"/>
        <w:gridCol w:w="945"/>
      </w:tblGrid>
      <w:tr w:rsidR="001B586E">
        <w:tc>
          <w:tcPr>
            <w:tcW w:w="567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Наименование цели, показателя (индикатора)</w:t>
            </w:r>
          </w:p>
        </w:tc>
        <w:tc>
          <w:tcPr>
            <w:tcW w:w="1134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09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Отчет 2018</w:t>
            </w:r>
          </w:p>
        </w:tc>
        <w:tc>
          <w:tcPr>
            <w:tcW w:w="9272" w:type="dxa"/>
            <w:gridSpan w:val="7"/>
          </w:tcPr>
          <w:p w:rsidR="001B586E" w:rsidRDefault="001B586E">
            <w:pPr>
              <w:pStyle w:val="ConsPlusNormal"/>
              <w:jc w:val="center"/>
            </w:pPr>
            <w:r>
              <w:t>Прогнозируемые значения показателя (индикатора) по годам</w:t>
            </w:r>
          </w:p>
        </w:tc>
      </w:tr>
      <w:tr w:rsidR="001B586E">
        <w:tc>
          <w:tcPr>
            <w:tcW w:w="567" w:type="dxa"/>
            <w:vMerge/>
          </w:tcPr>
          <w:p w:rsidR="001B586E" w:rsidRDefault="001B586E"/>
        </w:tc>
        <w:tc>
          <w:tcPr>
            <w:tcW w:w="2268" w:type="dxa"/>
            <w:vMerge/>
          </w:tcPr>
          <w:p w:rsidR="001B586E" w:rsidRDefault="001B586E"/>
        </w:tc>
        <w:tc>
          <w:tcPr>
            <w:tcW w:w="1134" w:type="dxa"/>
            <w:vMerge/>
          </w:tcPr>
          <w:p w:rsidR="001B586E" w:rsidRDefault="001B586E"/>
        </w:tc>
        <w:tc>
          <w:tcPr>
            <w:tcW w:w="964" w:type="dxa"/>
            <w:vMerge/>
          </w:tcPr>
          <w:p w:rsidR="001B586E" w:rsidRDefault="001B586E"/>
        </w:tc>
        <w:tc>
          <w:tcPr>
            <w:tcW w:w="1609" w:type="dxa"/>
            <w:vMerge/>
          </w:tcPr>
          <w:p w:rsidR="001B586E" w:rsidRDefault="001B586E"/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1B586E">
        <w:tc>
          <w:tcPr>
            <w:tcW w:w="15814" w:type="dxa"/>
            <w:gridSpan w:val="12"/>
          </w:tcPr>
          <w:p w:rsidR="001B586E" w:rsidRDefault="001B586E">
            <w:pPr>
              <w:pStyle w:val="ConsPlusNormal"/>
              <w:jc w:val="center"/>
              <w:outlineLvl w:val="2"/>
            </w:pPr>
            <w:r>
              <w:t>Цель: Модернизация системы очистки сточных вод в городском округе Самара в рамках Федерального проекта "Оздоровление Волги"</w:t>
            </w:r>
          </w:p>
        </w:tc>
      </w:tr>
      <w:tr w:rsidR="001B586E">
        <w:tc>
          <w:tcPr>
            <w:tcW w:w="15814" w:type="dxa"/>
            <w:gridSpan w:val="12"/>
          </w:tcPr>
          <w:p w:rsidR="001B586E" w:rsidRDefault="001B586E">
            <w:pPr>
              <w:pStyle w:val="ConsPlusNormal"/>
              <w:jc w:val="center"/>
              <w:outlineLvl w:val="3"/>
            </w:pPr>
            <w:r>
              <w:t>Задача: Реконструкция очистных сооружений предприятий водопроводно-канализационного хозяйства городского округа Самара, сбрасывающих загрязненные сточные воды в реку Волга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bookmarkStart w:id="1" w:name="P155"/>
            <w:bookmarkEnd w:id="1"/>
            <w:r>
              <w:t>1.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хлоридам (Ccl4-)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хлороформу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0,0076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0,0076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0,0076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 xml:space="preserve">Концентрация загрязнений сточных вод, сбрасываемых в </w:t>
            </w:r>
            <w:r>
              <w:lastRenderedPageBreak/>
              <w:t>водный объект, соответствует предельно допустимой концентрации по ионам аммония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мг/куб. дм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0,5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нитрит-ионам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0,08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>Концентрация загрязнений сточных вод, сбрасываемых в водный объект, соответствует предельно допустимой концентрации по нитрат-ионам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t>мг/куб. дм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40,0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bookmarkStart w:id="2" w:name="P215"/>
            <w:bookmarkEnd w:id="2"/>
            <w:r>
              <w:t>6.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 xml:space="preserve">Концентрация загрязнений сточных вод, сбрасываемых в водный объект, соответствует предельно допустимой </w:t>
            </w:r>
            <w:r>
              <w:lastRenderedPageBreak/>
              <w:t>концентрации по фосфат-ионам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мг/куб. дм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0,2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>Объем загрязненных сточных вод, сбрасываемых предприятиями водопроводно-канализационного хозяйства городского округа Самара в реку Волгу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t>тыс. куб. м в год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159553,58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159553,58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159553,58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159553,58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159553,58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0,00 &lt;1&gt;</w:t>
            </w:r>
          </w:p>
        </w:tc>
      </w:tr>
      <w:tr w:rsidR="001B586E">
        <w:tc>
          <w:tcPr>
            <w:tcW w:w="567" w:type="dxa"/>
          </w:tcPr>
          <w:p w:rsidR="001B586E" w:rsidRDefault="001B58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1B586E" w:rsidRDefault="001B586E">
            <w:pPr>
              <w:pStyle w:val="ConsPlusNormal"/>
            </w:pPr>
            <w:r>
              <w:t>Количество реконструированных объектов на очистных сооружениях предприятий водопроводно-канализационного хозяйства городского округа Самара, сбрасывающих загрязненные сточные воды в реку Волгу</w:t>
            </w:r>
          </w:p>
        </w:tc>
        <w:tc>
          <w:tcPr>
            <w:tcW w:w="1134" w:type="dxa"/>
          </w:tcPr>
          <w:p w:rsidR="001B586E" w:rsidRDefault="001B586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1B586E" w:rsidRDefault="001B586E">
            <w:pPr>
              <w:pStyle w:val="ConsPlusNormal"/>
              <w:jc w:val="center"/>
            </w:pPr>
            <w:r>
              <w:t>2020 - 2023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1B586E" w:rsidRDefault="001B586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B586E" w:rsidRDefault="001B586E">
            <w:pPr>
              <w:pStyle w:val="ConsPlusNormal"/>
              <w:jc w:val="center"/>
            </w:pPr>
            <w:r>
              <w:t>2</w:t>
            </w:r>
          </w:p>
        </w:tc>
      </w:tr>
    </w:tbl>
    <w:p w:rsidR="001B586E" w:rsidRDefault="001B586E">
      <w:pPr>
        <w:sectPr w:rsidR="001B58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--------------------------------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 xml:space="preserve">&lt;1&gt; Нулевой показатель объема отводимых в реку Волгу загрязненных сточных вод предприятиями водопроводно-канализационного хозяйства городского округа Самара будет достигнут в случае снижения концентраций загрязняющих веществ по </w:t>
      </w:r>
      <w:hyperlink w:anchor="P155" w:history="1">
        <w:r>
          <w:rPr>
            <w:color w:val="0000FF"/>
          </w:rPr>
          <w:t>показателям 1</w:t>
        </w:r>
      </w:hyperlink>
      <w:r>
        <w:t xml:space="preserve"> - </w:t>
      </w:r>
      <w:hyperlink w:anchor="P215" w:history="1">
        <w:r>
          <w:rPr>
            <w:color w:val="0000FF"/>
          </w:rPr>
          <w:t>6</w:t>
        </w:r>
      </w:hyperlink>
      <w:r>
        <w:t xml:space="preserve"> таблицы до показателей НДС.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4. Перечень мероприятий муниципальной программы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hyperlink w:anchor="P328" w:history="1">
        <w:r>
          <w:rPr>
            <w:color w:val="0000FF"/>
          </w:rPr>
          <w:t>Перечень</w:t>
        </w:r>
      </w:hyperlink>
      <w:r>
        <w:t xml:space="preserve"> мероприятий, включая сроки реализации, исполнителей, суммы расходов по годам, указан в приложении N 1 к муниципальной программе.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5. Обоснование ресурсного обеспечения</w:t>
      </w:r>
    </w:p>
    <w:p w:rsidR="001B586E" w:rsidRDefault="001B586E">
      <w:pPr>
        <w:pStyle w:val="ConsPlusTitle"/>
        <w:jc w:val="center"/>
      </w:pPr>
      <w:r>
        <w:t>муниципальной программы</w:t>
      </w:r>
    </w:p>
    <w:p w:rsidR="001B586E" w:rsidRDefault="001B586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</w:p>
    <w:p w:rsidR="001B586E" w:rsidRDefault="001B586E">
      <w:pPr>
        <w:pStyle w:val="ConsPlusNormal"/>
        <w:jc w:val="center"/>
      </w:pPr>
      <w:r>
        <w:t>от 21.10.2019 N 774)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Финансирование мероприятий Программы планируется осуществить в размере 2 074 292,88 тыс. рублей, в том числе: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за счет средств бюджета городского округа Самара 16 612,50 тыс. рублей, в том числе: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2019 году - 4 004,00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2020 году - 1 375,00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2021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2022 году - 9 847,00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2023 году - 1 386,50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2024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за счет средств вышестоящих бюджетов - 762 460,38 тыс. рублей, в том числе: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2019 году - 567 646,04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2020 году - 194 814,34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2021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2022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2023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2024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за счет средств внебюджетных источников - 1 295 220,00 тыс. рублей, в том числе: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2019 году - 50 000,00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2020 году - 118 000,00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2021 году - 667 220,00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lastRenderedPageBreak/>
        <w:t>в 2022 году - 460 000,00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2023 году - 0,00 тыс. рублей;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2024 году - 0,00 тыс. рублей.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Финансирование Программы за счет средств областного бюджета осуществляется в объеме их фактического поступления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 Расходные обязательства Самарской области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 xml:space="preserve">Формы бюджетных ассигнований определены в соответствии со </w:t>
      </w:r>
      <w:hyperlink r:id="rId15" w:history="1">
        <w:r>
          <w:rPr>
            <w:color w:val="0000FF"/>
          </w:rPr>
          <w:t>статьями 69</w:t>
        </w:r>
      </w:hyperlink>
      <w:r>
        <w:t xml:space="preserve"> и </w:t>
      </w:r>
      <w:hyperlink r:id="rId16" w:history="1">
        <w:r>
          <w:rPr>
            <w:color w:val="0000FF"/>
          </w:rPr>
          <w:t>78.2</w:t>
        </w:r>
      </w:hyperlink>
      <w:r>
        <w:t xml:space="preserve"> Бюджетного кодекса Российской Федерации: бюджетные ассигнования на оказание государственных (муниципальных) услуг (выполнение работ), включая ассигнования на закупку товаров, работ, услуг для обеспечения государственных (муниципальных) нужд;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Расчет ресурсного обеспечения муниципальной программы произведен на основании сметных расчетов стоимости проектно-изыскательских и строительно-монтажных работ, необходимых для реализации мероприятий.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1B586E" w:rsidRDefault="001B586E">
      <w:pPr>
        <w:pStyle w:val="ConsPlusTitle"/>
        <w:jc w:val="center"/>
      </w:pPr>
      <w:r>
        <w:t>в соответствующей сфере, направленных на достижение целей</w:t>
      </w:r>
    </w:p>
    <w:p w:rsidR="001B586E" w:rsidRDefault="001B586E">
      <w:pPr>
        <w:pStyle w:val="ConsPlusTitle"/>
        <w:jc w:val="center"/>
      </w:pPr>
      <w:r>
        <w:t>муниципальной программы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 xml:space="preserve">К мерам муниципального регулирования относится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03.09.2014 N 1299 "Об утверждении Правил принятия решений о предоставлении субсидии из бюджета городского округа Самара на осуществление капитальных вложений в объекты капитального строительства муниципальной собственности городского округа Самара или приобретение объектов недвижимого имущества в муниципальную собственность городского округа Самара".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18" w:history="1">
        <w:r>
          <w:rPr>
            <w:color w:val="0000FF"/>
          </w:rPr>
          <w:t>Порядка</w:t>
        </w:r>
      </w:hyperlink>
      <w:r>
        <w:t xml:space="preserve"> разработки, реализации и оценки эффективности муниципальных программ городского округа Самара, утвержденного постановлением Администрации городского округа Самара от 12.10.2015 N 1126 (далее - Порядок), в сроки, установленные Порядком, в рамках реализации муниципальной программы будут проводиться постоянный мониторинг и при необходимости корректировка данных, а также принятие постановлений Администрации городского округа Самара о внесении изменений в муниципальную программу.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В рамках реализации программных мероприятий ответственным исполнителем муниципальной программы будут проводиться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Ответственный исполнитель муниципальной программы - Департамент городского хозяйства и экологии Администрации городского округа Самара.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 xml:space="preserve">Исполнители мероприятий муниципальной программы: муниципальное предприятие </w:t>
      </w:r>
      <w:r>
        <w:lastRenderedPageBreak/>
        <w:t>городского округа Самара "Самараводоканал", общество с ограниченной ответственностью "Самарские коммунальные системы".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программы, исходя из ее содержания.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Организация управления процессом реализации муниципальной программы осуществляется ответственным исполнителем муниципальной программы, в том числе: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организация реализации программных мероприятий;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сбор информации о ходе выполнения программных мероприятий;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корректирование программных мероприятий и сроков их реализации в ходе реализации муниципальной программы.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несет ответственность за организацию и исполнение программных мероприятий, рациональное и целевое использование бюджетных средств.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1B586E" w:rsidRDefault="001B586E">
      <w:pPr>
        <w:pStyle w:val="ConsPlusTitle"/>
        <w:jc w:val="center"/>
      </w:pPr>
      <w:r>
        <w:t>муниципальной программы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hyperlink w:anchor="P510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муниципальной программы приведена в приложении N 2 к муниципальной программе согласно приложению N 2 к Порядку.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right"/>
      </w:pPr>
      <w:r>
        <w:t>Первый заместитель главы</w:t>
      </w:r>
    </w:p>
    <w:p w:rsidR="001B586E" w:rsidRDefault="001B586E">
      <w:pPr>
        <w:pStyle w:val="ConsPlusNormal"/>
        <w:jc w:val="right"/>
      </w:pPr>
      <w:r>
        <w:t>городского округа</w:t>
      </w:r>
    </w:p>
    <w:p w:rsidR="001B586E" w:rsidRDefault="001B586E">
      <w:pPr>
        <w:pStyle w:val="ConsPlusNormal"/>
        <w:jc w:val="right"/>
      </w:pPr>
      <w:r>
        <w:t>В.А.ВАСИЛЕНКО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right"/>
        <w:outlineLvl w:val="1"/>
      </w:pPr>
      <w:r>
        <w:t>Приложение N 1</w:t>
      </w:r>
    </w:p>
    <w:p w:rsidR="001B586E" w:rsidRDefault="001B586E">
      <w:pPr>
        <w:pStyle w:val="ConsPlusNormal"/>
        <w:jc w:val="right"/>
      </w:pPr>
      <w:r>
        <w:t>к Муниципальной программе</w:t>
      </w:r>
    </w:p>
    <w:p w:rsidR="001B586E" w:rsidRDefault="001B586E">
      <w:pPr>
        <w:pStyle w:val="ConsPlusNormal"/>
        <w:jc w:val="right"/>
      </w:pPr>
      <w:r>
        <w:t>городского округа Самара</w:t>
      </w:r>
    </w:p>
    <w:p w:rsidR="001B586E" w:rsidRDefault="001B586E">
      <w:pPr>
        <w:pStyle w:val="ConsPlusNormal"/>
        <w:jc w:val="right"/>
      </w:pPr>
      <w:r>
        <w:t>"Оздоровление Волги"</w:t>
      </w:r>
    </w:p>
    <w:p w:rsidR="001B586E" w:rsidRDefault="001B586E">
      <w:pPr>
        <w:pStyle w:val="ConsPlusNormal"/>
        <w:jc w:val="right"/>
      </w:pPr>
      <w:r>
        <w:t>на 2019 - 2024 годы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</w:pPr>
      <w:bookmarkStart w:id="3" w:name="P328"/>
      <w:bookmarkEnd w:id="3"/>
      <w:r>
        <w:t>ПЕРЕЧЕНЬ</w:t>
      </w:r>
    </w:p>
    <w:p w:rsidR="001B586E" w:rsidRDefault="001B586E">
      <w:pPr>
        <w:pStyle w:val="ConsPlusTitle"/>
        <w:jc w:val="center"/>
      </w:pPr>
      <w:r>
        <w:t>МЕРОПРИЯТИЙ МУНИЦИПАЛЬНОЙ ПРОГРАММЫ ГОРОДСКОГО</w:t>
      </w:r>
    </w:p>
    <w:p w:rsidR="001B586E" w:rsidRDefault="001B586E">
      <w:pPr>
        <w:pStyle w:val="ConsPlusTitle"/>
        <w:jc w:val="center"/>
      </w:pPr>
      <w:r>
        <w:t>ОКРУГА САМАРА "ОЗДОРОВЛЕНИЕ ВОЛГИ"</w:t>
      </w:r>
    </w:p>
    <w:p w:rsidR="001B586E" w:rsidRDefault="001B586E">
      <w:pPr>
        <w:pStyle w:val="ConsPlusTitle"/>
        <w:jc w:val="center"/>
      </w:pPr>
      <w:r>
        <w:t>НА 2019 - 2024 ГОДЫ</w:t>
      </w:r>
    </w:p>
    <w:p w:rsidR="001B586E" w:rsidRDefault="001B58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8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1B586E" w:rsidRDefault="001B586E">
            <w:pPr>
              <w:pStyle w:val="ConsPlusNormal"/>
              <w:jc w:val="center"/>
            </w:pPr>
            <w:r>
              <w:rPr>
                <w:color w:val="392C69"/>
              </w:rPr>
              <w:t>от 21.10.2019 N 774)</w:t>
            </w:r>
          </w:p>
        </w:tc>
      </w:tr>
    </w:tbl>
    <w:p w:rsidR="001B586E" w:rsidRDefault="001B586E">
      <w:pPr>
        <w:pStyle w:val="ConsPlusNormal"/>
        <w:jc w:val="both"/>
      </w:pPr>
    </w:p>
    <w:p w:rsidR="001B586E" w:rsidRDefault="001B586E">
      <w:pPr>
        <w:sectPr w:rsidR="001B58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08"/>
        <w:gridCol w:w="1276"/>
        <w:gridCol w:w="1701"/>
        <w:gridCol w:w="851"/>
        <w:gridCol w:w="1531"/>
        <w:gridCol w:w="1587"/>
        <w:gridCol w:w="1531"/>
        <w:gridCol w:w="1531"/>
        <w:gridCol w:w="1191"/>
        <w:gridCol w:w="1020"/>
        <w:gridCol w:w="1644"/>
        <w:gridCol w:w="3515"/>
      </w:tblGrid>
      <w:tr w:rsidR="001B586E">
        <w:tc>
          <w:tcPr>
            <w:tcW w:w="624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N</w:t>
            </w:r>
          </w:p>
          <w:p w:rsidR="001B586E" w:rsidRDefault="001B586E">
            <w:pPr>
              <w:pStyle w:val="ConsPlusNormal"/>
              <w:jc w:val="center"/>
            </w:pPr>
            <w:hyperlink w:anchor="P498" w:history="1">
              <w:r>
                <w:rPr>
                  <w:color w:val="0000FF"/>
                </w:rPr>
                <w:t>&lt;1&gt;</w:t>
              </w:r>
            </w:hyperlink>
            <w:r>
              <w:t xml:space="preserve"> п/п</w:t>
            </w:r>
          </w:p>
        </w:tc>
        <w:tc>
          <w:tcPr>
            <w:tcW w:w="1808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Ответственный исполнитель - ГРБС</w:t>
            </w:r>
          </w:p>
        </w:tc>
        <w:tc>
          <w:tcPr>
            <w:tcW w:w="1701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851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035" w:type="dxa"/>
            <w:gridSpan w:val="7"/>
          </w:tcPr>
          <w:p w:rsidR="001B586E" w:rsidRDefault="001B586E">
            <w:pPr>
              <w:pStyle w:val="ConsPlusNormal"/>
              <w:jc w:val="center"/>
            </w:pPr>
            <w:r>
              <w:t>Объем софинансирования мероприятий (в разрезе источников финансирования) по годам реализации, тыс. руб.</w:t>
            </w:r>
          </w:p>
        </w:tc>
        <w:tc>
          <w:tcPr>
            <w:tcW w:w="3515" w:type="dxa"/>
            <w:vMerge w:val="restart"/>
          </w:tcPr>
          <w:p w:rsidR="001B586E" w:rsidRDefault="001B586E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1B586E">
        <w:tc>
          <w:tcPr>
            <w:tcW w:w="624" w:type="dxa"/>
            <w:vMerge/>
          </w:tcPr>
          <w:p w:rsidR="001B586E" w:rsidRDefault="001B586E"/>
        </w:tc>
        <w:tc>
          <w:tcPr>
            <w:tcW w:w="1808" w:type="dxa"/>
            <w:vMerge/>
          </w:tcPr>
          <w:p w:rsidR="001B586E" w:rsidRDefault="001B586E"/>
        </w:tc>
        <w:tc>
          <w:tcPr>
            <w:tcW w:w="1276" w:type="dxa"/>
            <w:vMerge/>
          </w:tcPr>
          <w:p w:rsidR="001B586E" w:rsidRDefault="001B586E"/>
        </w:tc>
        <w:tc>
          <w:tcPr>
            <w:tcW w:w="1701" w:type="dxa"/>
            <w:vMerge/>
          </w:tcPr>
          <w:p w:rsidR="001B586E" w:rsidRDefault="001B586E"/>
        </w:tc>
        <w:tc>
          <w:tcPr>
            <w:tcW w:w="851" w:type="dxa"/>
            <w:vMerge/>
          </w:tcPr>
          <w:p w:rsidR="001B586E" w:rsidRDefault="001B586E"/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5" w:type="dxa"/>
            <w:vMerge/>
          </w:tcPr>
          <w:p w:rsidR="001B586E" w:rsidRDefault="001B586E"/>
        </w:tc>
      </w:tr>
      <w:tr w:rsidR="001B586E">
        <w:tc>
          <w:tcPr>
            <w:tcW w:w="624" w:type="dxa"/>
          </w:tcPr>
          <w:p w:rsidR="001B586E" w:rsidRDefault="001B5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1B586E" w:rsidRDefault="001B58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B586E" w:rsidRDefault="001B58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586E" w:rsidRDefault="001B58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B586E" w:rsidRDefault="001B58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  <w:jc w:val="center"/>
            </w:pPr>
            <w:r>
              <w:t>13</w:t>
            </w:r>
          </w:p>
        </w:tc>
      </w:tr>
      <w:tr w:rsidR="001B586E">
        <w:tc>
          <w:tcPr>
            <w:tcW w:w="19810" w:type="dxa"/>
            <w:gridSpan w:val="13"/>
          </w:tcPr>
          <w:p w:rsidR="001B586E" w:rsidRDefault="001B586E">
            <w:pPr>
              <w:pStyle w:val="ConsPlusNormal"/>
              <w:jc w:val="center"/>
              <w:outlineLvl w:val="2"/>
            </w:pPr>
            <w:r>
              <w:t>Цель: Модернизация системы очистки сточных вод в городском округе Самара в рамках Федерального проекта "Оздоровление Волги"</w:t>
            </w:r>
          </w:p>
        </w:tc>
      </w:tr>
      <w:tr w:rsidR="001B586E">
        <w:tc>
          <w:tcPr>
            <w:tcW w:w="19810" w:type="dxa"/>
            <w:gridSpan w:val="13"/>
          </w:tcPr>
          <w:p w:rsidR="001B586E" w:rsidRDefault="001B586E">
            <w:pPr>
              <w:pStyle w:val="ConsPlusNormal"/>
              <w:jc w:val="center"/>
              <w:outlineLvl w:val="3"/>
            </w:pPr>
            <w:r>
              <w:t>Задача: Реконструкция очистных сооружений предприятий водопроводно-канализационного хозяйства городского округа Самара, сбрасывающих загрязненные сточные воды в реку Волга</w:t>
            </w:r>
          </w:p>
        </w:tc>
      </w:tr>
      <w:tr w:rsidR="001B586E">
        <w:tc>
          <w:tcPr>
            <w:tcW w:w="624" w:type="dxa"/>
          </w:tcPr>
          <w:p w:rsidR="001B586E" w:rsidRDefault="001B586E">
            <w:pPr>
              <w:pStyle w:val="ConsPlusNormal"/>
              <w:jc w:val="center"/>
            </w:pPr>
            <w:r>
              <w:t>1. (11)</w:t>
            </w:r>
          </w:p>
        </w:tc>
        <w:tc>
          <w:tcPr>
            <w:tcW w:w="1808" w:type="dxa"/>
          </w:tcPr>
          <w:p w:rsidR="001B586E" w:rsidRDefault="001B586E">
            <w:pPr>
              <w:pStyle w:val="ConsPlusNormal"/>
              <w:jc w:val="both"/>
            </w:pPr>
            <w:r>
              <w:t>Реконструкция ГОКС г.о. Самара: Реконструкция системы обеззараживания очищенных сточных вод на ГОКС г. Самара. Станция УФ-обеззараживания</w:t>
            </w:r>
          </w:p>
        </w:tc>
        <w:tc>
          <w:tcPr>
            <w:tcW w:w="1276" w:type="dxa"/>
          </w:tcPr>
          <w:p w:rsidR="001B586E" w:rsidRDefault="001B586E">
            <w:pPr>
              <w:pStyle w:val="ConsPlusNormal"/>
              <w:jc w:val="center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  <w:tc>
          <w:tcPr>
            <w:tcW w:w="1701" w:type="dxa"/>
          </w:tcPr>
          <w:p w:rsidR="001B586E" w:rsidRDefault="001B586E">
            <w:pPr>
              <w:pStyle w:val="ConsPlusNormal"/>
              <w:jc w:val="center"/>
            </w:pPr>
            <w:r>
              <w:t>МП г.о. Самара "Самараводоканал"</w:t>
            </w:r>
          </w:p>
        </w:tc>
        <w:tc>
          <w:tcPr>
            <w:tcW w:w="851" w:type="dxa"/>
          </w:tcPr>
          <w:p w:rsidR="001B586E" w:rsidRDefault="001B586E">
            <w:pPr>
              <w:pStyle w:val="ConsPlusNormal"/>
              <w:jc w:val="center"/>
            </w:pPr>
            <w:r>
              <w:t>2019 - 2020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571650,04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196189,34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767839,38</w:t>
            </w:r>
          </w:p>
        </w:tc>
        <w:tc>
          <w:tcPr>
            <w:tcW w:w="3515" w:type="dxa"/>
            <w:vMerge w:val="restart"/>
          </w:tcPr>
          <w:p w:rsidR="001B586E" w:rsidRDefault="001B586E">
            <w:pPr>
              <w:pStyle w:val="ConsPlusNormal"/>
            </w:pPr>
            <w:r>
              <w:t>В результате реализации мероприятий содержание загрязняющих веществ в сточных водах, поступающих через городские очистные канализационные сооружения в реку Волгу, не должны превышать утвержденных нормативов допустимого сброса (НДС), что обеспечит сокращение отведения в реку Волгу загрязненных сточных вод</w:t>
            </w: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491616,91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168721,38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660338,29</w:t>
            </w:r>
          </w:p>
        </w:tc>
        <w:tc>
          <w:tcPr>
            <w:tcW w:w="3515" w:type="dxa"/>
            <w:vMerge/>
          </w:tcPr>
          <w:p w:rsidR="001B586E" w:rsidRDefault="001B586E"/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областного бюджета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76029,13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26092,96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102122,09</w:t>
            </w:r>
          </w:p>
        </w:tc>
        <w:tc>
          <w:tcPr>
            <w:tcW w:w="3515" w:type="dxa"/>
            <w:vMerge/>
          </w:tcPr>
          <w:p w:rsidR="001B586E" w:rsidRDefault="001B586E"/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бюджета городского округа Самара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4004,00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1375,00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5379,00</w:t>
            </w:r>
          </w:p>
        </w:tc>
        <w:tc>
          <w:tcPr>
            <w:tcW w:w="3515" w:type="dxa"/>
            <w:vMerge/>
          </w:tcPr>
          <w:p w:rsidR="001B586E" w:rsidRDefault="001B586E"/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15" w:type="dxa"/>
            <w:vMerge/>
          </w:tcPr>
          <w:p w:rsidR="001B586E" w:rsidRDefault="001B586E"/>
        </w:tc>
      </w:tr>
      <w:tr w:rsidR="001B586E">
        <w:tc>
          <w:tcPr>
            <w:tcW w:w="624" w:type="dxa"/>
          </w:tcPr>
          <w:p w:rsidR="001B586E" w:rsidRDefault="001B586E">
            <w:pPr>
              <w:pStyle w:val="ConsPlusNormal"/>
              <w:jc w:val="center"/>
            </w:pPr>
            <w:r>
              <w:t>2. (10)</w:t>
            </w:r>
          </w:p>
        </w:tc>
        <w:tc>
          <w:tcPr>
            <w:tcW w:w="1808" w:type="dxa"/>
          </w:tcPr>
          <w:p w:rsidR="001B586E" w:rsidRDefault="001B586E">
            <w:pPr>
              <w:pStyle w:val="ConsPlusNormal"/>
              <w:jc w:val="both"/>
            </w:pPr>
            <w:r>
              <w:t xml:space="preserve">Сооружения доочистки. Реконструкция комплекса биологической </w:t>
            </w:r>
            <w:r>
              <w:lastRenderedPageBreak/>
              <w:t>доочистки сточных вод от биогенных элементов городского округа Самара, производительностью 640,0 тыс.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1276" w:type="dxa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 xml:space="preserve">Департамент городского хозяйства и экологии </w:t>
            </w:r>
            <w:r>
              <w:lastRenderedPageBreak/>
              <w:t>Администрации городского округа Самара</w:t>
            </w:r>
          </w:p>
        </w:tc>
        <w:tc>
          <w:tcPr>
            <w:tcW w:w="1701" w:type="dxa"/>
          </w:tcPr>
          <w:p w:rsidR="001B586E" w:rsidRDefault="001B586E">
            <w:pPr>
              <w:pStyle w:val="ConsPlusNormal"/>
              <w:jc w:val="center"/>
            </w:pPr>
            <w:r>
              <w:lastRenderedPageBreak/>
              <w:t>ООО "Самарские коммунальные системы"</w:t>
            </w:r>
          </w:p>
        </w:tc>
        <w:tc>
          <w:tcPr>
            <w:tcW w:w="851" w:type="dxa"/>
          </w:tcPr>
          <w:p w:rsidR="001B586E" w:rsidRDefault="001B586E">
            <w:pPr>
              <w:pStyle w:val="ConsPlusNormal"/>
              <w:jc w:val="center"/>
            </w:pPr>
            <w:r>
              <w:t>2019 - 2022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667220,00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469847,00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1386,50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1306453,50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  <w:jc w:val="both"/>
            </w:pPr>
            <w:r>
              <w:t xml:space="preserve">В результате содержание загрязняющих веществ в сточных водах, поступающих через городские очистные канализационные сооружения в </w:t>
            </w:r>
            <w:r>
              <w:lastRenderedPageBreak/>
              <w:t>реку Волгу, не должны превышать утвержденных нормативов допустимого сброса (НДС), что обеспечит сокращение отведения в реку Волгу загрязненных сточных вод</w:t>
            </w: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lastRenderedPageBreak/>
              <w:t>за счет средств бюджета городского округа Самара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9847,00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1386,50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11233,50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667220,00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1295220,00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621650,04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314189,34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667220,00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469847,00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1386,50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2074292,88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</w:pPr>
          </w:p>
        </w:tc>
        <w:tc>
          <w:tcPr>
            <w:tcW w:w="1587" w:type="dxa"/>
          </w:tcPr>
          <w:p w:rsidR="001B586E" w:rsidRDefault="001B586E">
            <w:pPr>
              <w:pStyle w:val="ConsPlusNormal"/>
            </w:pPr>
          </w:p>
        </w:tc>
        <w:tc>
          <w:tcPr>
            <w:tcW w:w="1531" w:type="dxa"/>
          </w:tcPr>
          <w:p w:rsidR="001B586E" w:rsidRDefault="001B586E">
            <w:pPr>
              <w:pStyle w:val="ConsPlusNormal"/>
            </w:pPr>
          </w:p>
        </w:tc>
        <w:tc>
          <w:tcPr>
            <w:tcW w:w="1531" w:type="dxa"/>
          </w:tcPr>
          <w:p w:rsidR="001B586E" w:rsidRDefault="001B586E">
            <w:pPr>
              <w:pStyle w:val="ConsPlusNormal"/>
            </w:pPr>
          </w:p>
        </w:tc>
        <w:tc>
          <w:tcPr>
            <w:tcW w:w="1191" w:type="dxa"/>
          </w:tcPr>
          <w:p w:rsidR="001B586E" w:rsidRDefault="001B586E">
            <w:pPr>
              <w:pStyle w:val="ConsPlusNormal"/>
            </w:pPr>
          </w:p>
        </w:tc>
        <w:tc>
          <w:tcPr>
            <w:tcW w:w="1020" w:type="dxa"/>
          </w:tcPr>
          <w:p w:rsidR="001B586E" w:rsidRDefault="001B586E">
            <w:pPr>
              <w:pStyle w:val="ConsPlusNormal"/>
            </w:pPr>
          </w:p>
        </w:tc>
        <w:tc>
          <w:tcPr>
            <w:tcW w:w="1644" w:type="dxa"/>
          </w:tcPr>
          <w:p w:rsidR="001B586E" w:rsidRDefault="001B586E">
            <w:pPr>
              <w:pStyle w:val="ConsPlusNormal"/>
            </w:pP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491616,91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168721,38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660338,29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областного бюджета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76029,13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26092,96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102122,09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бюджета городского округа Самара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4004,00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1375,00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9847,00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1386,50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16612,50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  <w:tr w:rsidR="001B586E">
        <w:tc>
          <w:tcPr>
            <w:tcW w:w="6260" w:type="dxa"/>
            <w:gridSpan w:val="5"/>
          </w:tcPr>
          <w:p w:rsidR="001B586E" w:rsidRDefault="001B586E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1B586E" w:rsidRDefault="001B586E">
            <w:pPr>
              <w:pStyle w:val="ConsPlusNormal"/>
              <w:jc w:val="center"/>
            </w:pPr>
            <w:r>
              <w:t>118000,00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667220,00</w:t>
            </w:r>
          </w:p>
        </w:tc>
        <w:tc>
          <w:tcPr>
            <w:tcW w:w="1531" w:type="dxa"/>
          </w:tcPr>
          <w:p w:rsidR="001B586E" w:rsidRDefault="001B586E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191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1B586E" w:rsidRDefault="001B586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B586E" w:rsidRDefault="001B586E">
            <w:pPr>
              <w:pStyle w:val="ConsPlusNormal"/>
              <w:jc w:val="center"/>
            </w:pPr>
            <w:r>
              <w:t>1295220,00</w:t>
            </w:r>
          </w:p>
        </w:tc>
        <w:tc>
          <w:tcPr>
            <w:tcW w:w="3515" w:type="dxa"/>
          </w:tcPr>
          <w:p w:rsidR="001B586E" w:rsidRDefault="001B586E">
            <w:pPr>
              <w:pStyle w:val="ConsPlusNormal"/>
            </w:pPr>
          </w:p>
        </w:tc>
      </w:tr>
    </w:tbl>
    <w:p w:rsidR="001B586E" w:rsidRDefault="001B586E">
      <w:pPr>
        <w:sectPr w:rsidR="001B58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--------------------------------</w:t>
      </w:r>
    </w:p>
    <w:p w:rsidR="001B586E" w:rsidRDefault="001B586E">
      <w:pPr>
        <w:pStyle w:val="ConsPlusNormal"/>
        <w:spacing w:before="220"/>
        <w:ind w:firstLine="540"/>
        <w:jc w:val="both"/>
      </w:pPr>
      <w:bookmarkStart w:id="4" w:name="P498"/>
      <w:bookmarkEnd w:id="4"/>
      <w:r>
        <w:t>&lt;1&gt; В нумерации мероприятий в скобках указан номер мероприятия в соответствии с Государственной программой Самарской области "Оздоровление Волги".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right"/>
        <w:outlineLvl w:val="1"/>
      </w:pPr>
      <w:r>
        <w:t>Приложение N 2</w:t>
      </w:r>
    </w:p>
    <w:p w:rsidR="001B586E" w:rsidRDefault="001B586E">
      <w:pPr>
        <w:pStyle w:val="ConsPlusNormal"/>
        <w:jc w:val="right"/>
      </w:pPr>
      <w:r>
        <w:t>к Муниципальной программе</w:t>
      </w:r>
    </w:p>
    <w:p w:rsidR="001B586E" w:rsidRDefault="001B586E">
      <w:pPr>
        <w:pStyle w:val="ConsPlusNormal"/>
        <w:jc w:val="right"/>
      </w:pPr>
      <w:r>
        <w:t>городского округа Самара</w:t>
      </w:r>
    </w:p>
    <w:p w:rsidR="001B586E" w:rsidRDefault="001B586E">
      <w:pPr>
        <w:pStyle w:val="ConsPlusNormal"/>
        <w:jc w:val="right"/>
      </w:pPr>
      <w:r>
        <w:t>"Оздоровление Волги"</w:t>
      </w:r>
    </w:p>
    <w:p w:rsidR="001B586E" w:rsidRDefault="001B586E">
      <w:pPr>
        <w:pStyle w:val="ConsPlusNormal"/>
        <w:jc w:val="right"/>
      </w:pPr>
      <w:r>
        <w:t>на 2019 - 2024 годы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Title"/>
        <w:jc w:val="center"/>
      </w:pPr>
      <w:bookmarkStart w:id="5" w:name="P510"/>
      <w:bookmarkEnd w:id="5"/>
      <w:r>
        <w:t>МЕТОДИКА</w:t>
      </w:r>
    </w:p>
    <w:p w:rsidR="001B586E" w:rsidRDefault="001B586E">
      <w:pPr>
        <w:pStyle w:val="ConsPlusTitle"/>
        <w:jc w:val="center"/>
      </w:pPr>
      <w:r>
        <w:t>КОМПЛЕКСНОЙ ОЦЕНКИ ЭФФЕКТИВНОСТИ РЕАЛИЗАЦИИ МУНИЦИПАЛЬНОЙ</w:t>
      </w:r>
    </w:p>
    <w:p w:rsidR="001B586E" w:rsidRDefault="001B586E">
      <w:pPr>
        <w:pStyle w:val="ConsPlusTitle"/>
        <w:jc w:val="center"/>
      </w:pPr>
      <w:r>
        <w:t>ПРОГРАММЫ ГОРОДСКОГО ОКРУГА САМАРА "ОЗДОРОВЛЕНИЕ ВОЛГИ"</w:t>
      </w:r>
    </w:p>
    <w:p w:rsidR="001B586E" w:rsidRDefault="001B586E">
      <w:pPr>
        <w:pStyle w:val="ConsPlusTitle"/>
        <w:jc w:val="center"/>
      </w:pPr>
      <w:r>
        <w:t>НА 2019 - 2024 ГОДЫ ЗА ОТЧЕТНЫЙ ГОД И ЗА ПЕРИОД</w:t>
      </w:r>
    </w:p>
    <w:p w:rsidR="001B586E" w:rsidRDefault="001B586E">
      <w:pPr>
        <w:pStyle w:val="ConsPlusTitle"/>
        <w:jc w:val="center"/>
      </w:pPr>
      <w:r>
        <w:t>С НАЧАЛА РЕАЛИЗАЦИИ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center"/>
      </w:pPr>
      <w:r>
        <w:t>Оценка степени выполнения мероприятий</w:t>
      </w:r>
    </w:p>
    <w:p w:rsidR="001B586E" w:rsidRDefault="001B586E">
      <w:pPr>
        <w:pStyle w:val="ConsPlusNormal"/>
        <w:jc w:val="center"/>
      </w:pPr>
      <w:r>
        <w:t>муниципальной программы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center"/>
      </w:pPr>
      <w:r>
        <w:t>Оценка эффективности реализации муниципальной программы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муниципальных программах "прямых" показателей (индикаторов) рассчитывается по формуле: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center"/>
      </w:pPr>
      <w:r w:rsidRPr="004A081E">
        <w:rPr>
          <w:position w:val="-60"/>
        </w:rPr>
        <w:lastRenderedPageBreak/>
        <w:pict>
          <v:shape id="_x0000_i1025" style="width:130.75pt;height:1in" coordsize="" o:spt="100" adj="0,,0" path="" filled="f" stroked="f">
            <v:stroke joinstyle="miter"/>
            <v:imagedata r:id="rId20" o:title="base_23808_124430_32768"/>
            <v:formulas/>
            <v:path o:connecttype="segments"/>
          </v:shape>
        </w:pic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муниципальной программе "обратных" показателей (индикаторов) рассчитывается по формуле: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center"/>
      </w:pPr>
      <w:r w:rsidRPr="004A081E">
        <w:rPr>
          <w:position w:val="-60"/>
        </w:rPr>
        <w:pict>
          <v:shape id="_x0000_i1026" style="width:128.85pt;height:1in" coordsize="" o:spt="100" adj="0,,0" path="" filled="f" stroked="f">
            <v:stroke joinstyle="miter"/>
            <v:imagedata r:id="rId21" o:title="base_23808_124430_32769"/>
            <v:formulas/>
            <v:path o:connecttype="segments"/>
          </v:shape>
        </w:pic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ind w:firstLine="540"/>
        <w:jc w:val="both"/>
      </w:pPr>
      <w:r>
        <w:t>где N - количество показателей (индикаторов) муниципальной программы;</w:t>
      </w:r>
    </w:p>
    <w:p w:rsidR="001B586E" w:rsidRDefault="001B586E">
      <w:pPr>
        <w:pStyle w:val="ConsPlusNormal"/>
        <w:spacing w:before="220"/>
        <w:ind w:firstLine="540"/>
        <w:jc w:val="both"/>
      </w:pPr>
      <w:r w:rsidRPr="004A081E">
        <w:rPr>
          <w:position w:val="-8"/>
        </w:rPr>
        <w:pict>
          <v:shape id="_x0000_i1027" style="width:32.2pt;height:18.95pt" coordsize="" o:spt="100" adj="0,,0" path="" filled="f" stroked="f">
            <v:stroke joinstyle="miter"/>
            <v:imagedata r:id="rId22" o:title="base_23808_124430_32770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1B586E" w:rsidRDefault="001B586E">
      <w:pPr>
        <w:pStyle w:val="ConsPlusNormal"/>
        <w:spacing w:before="220"/>
        <w:ind w:firstLine="540"/>
        <w:jc w:val="both"/>
      </w:pPr>
      <w:r w:rsidRPr="004A081E">
        <w:rPr>
          <w:position w:val="-8"/>
        </w:rPr>
        <w:pict>
          <v:shape id="_x0000_i1028" style="width:32.2pt;height:18.95pt" coordsize="" o:spt="100" adj="0,,0" path="" filled="f" stroked="f">
            <v:stroke joinstyle="miter"/>
            <v:imagedata r:id="rId23" o:title="base_23808_124430_32771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План.</w:t>
      </w:r>
      <w:r>
        <w:t xml:space="preserve"> - объем ресурсов, предусмотренных (направленных) на реализацию муниципальной и государственной программ в отчетном году;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Факт.</w:t>
      </w:r>
      <w:r>
        <w:t xml:space="preserve"> - объем ресурсов, освоенных в ходе реализации муниципальной и государственной программ на конец отчетного года.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ее реализации рассчитывается как среднее арифметическое значений показателей эффективности реализации муниципальной программы за все отчетные годы.</w:t>
      </w:r>
    </w:p>
    <w:p w:rsidR="001B586E" w:rsidRDefault="001B586E">
      <w:pPr>
        <w:pStyle w:val="ConsPlusNormal"/>
        <w:spacing w:before="220"/>
        <w:ind w:firstLine="540"/>
        <w:jc w:val="both"/>
      </w:pPr>
      <w:r>
        <w:t xml:space="preserve">Критерии комплексной оценки эффективности реализации Программы установлены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12.10.2015 N 1126 "Об утверждении Порядка разработки, реализации и оценки эффективности муниципальных программ городского округа Самара".</w:t>
      </w: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jc w:val="both"/>
      </w:pPr>
    </w:p>
    <w:p w:rsidR="001B586E" w:rsidRDefault="001B5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94D" w:rsidRDefault="0045294D">
      <w:bookmarkStart w:id="6" w:name="_GoBack"/>
      <w:bookmarkEnd w:id="6"/>
    </w:p>
    <w:sectPr w:rsidR="0045294D" w:rsidSect="004A08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E"/>
    <w:rsid w:val="001B586E"/>
    <w:rsid w:val="004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50F7825DA393ACA84BE418CF172F20B9F13AA74F591F9B9CE0CB7D3FCB6B72CD8D75DD9B73F4291F8C2D348p6LBH" TargetMode="External"/><Relationship Id="rId13" Type="http://schemas.openxmlformats.org/officeDocument/2006/relationships/hyperlink" Target="consultantplus://offline/ref=4EF50F7825DA393ACA84A04C9A9D2EFA0E9549A47CF59EACE1930AE08CACB0E27E98890498F72C4293E6C0D04D69B1AB56FA689A2AFAC892FF353F0EpCL7H" TargetMode="External"/><Relationship Id="rId18" Type="http://schemas.openxmlformats.org/officeDocument/2006/relationships/hyperlink" Target="consultantplus://offline/ref=4EF50F7825DA393ACA84A04C9A9D2EFA0E9549A47CF59CA9E5980AE08CACB0E27E98890498F72C4293E6C0D14869B1AB56FA689A2AFAC892FF353F0EpCL7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4EF50F7825DA393ACA84BE418CF172F20B9D17AB7AF091F9B9CE0CB7D3FCB6B72CD8D75DD9B73F4291F8C2D348p6LBH" TargetMode="External"/><Relationship Id="rId12" Type="http://schemas.openxmlformats.org/officeDocument/2006/relationships/hyperlink" Target="consultantplus://offline/ref=4EF50F7825DA393ACA84A04C9A9D2EFA0E9549A47CF59EACE1930AE08CACB0E27E98890498F72C4293E6C0D34F69B1AB56FA689A2AFAC892FF353F0EpCL7H" TargetMode="External"/><Relationship Id="rId17" Type="http://schemas.openxmlformats.org/officeDocument/2006/relationships/hyperlink" Target="consultantplus://offline/ref=4EF50F7825DA393ACA84A04C9A9D2EFA0E9549A47BF59BADED9157EA84F5BCE07997D6019FE62C4197F8C1D15760E5FBp1LB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F50F7825DA393ACA84BE418CF172F20B9D11AE75F791F9B9CE0CB7D3FCB6B73ED88F51DBB0254090ED94820D37E8F816B1649A30E6C991pEL8H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A04C9A9D2EFA0E9549A47CF59EACE1930AE08CACB0E27E98890498F72C4293E6C0D34C69B1AB56FA689A2AFAC892FF353F0EpCL7H" TargetMode="External"/><Relationship Id="rId11" Type="http://schemas.openxmlformats.org/officeDocument/2006/relationships/hyperlink" Target="consultantplus://offline/ref=4EF50F7825DA393ACA84A04C9A9D2EFA0E9549A47CF59EACE1930AE08CACB0E27E98890498F72C4293E6C0D34C69B1AB56FA689A2AFAC892FF353F0EpCL7H" TargetMode="External"/><Relationship Id="rId24" Type="http://schemas.openxmlformats.org/officeDocument/2006/relationships/hyperlink" Target="consultantplus://offline/ref=4EF50F7825DA393ACA84A04C9A9D2EFA0E9549A47CF59CA9E5980AE08CACB0E27E9889048AF7744E91E2DED24B7CE7FA13pAL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F50F7825DA393ACA84BE418CF172F20B9D11AE75F791F9B9CE0CB7D3FCB6B73ED88F51D8B62148C7B784864460E1E413AD7B9A2EE5pCL0H" TargetMode="External"/><Relationship Id="rId23" Type="http://schemas.openxmlformats.org/officeDocument/2006/relationships/image" Target="media/image4.wmf"/><Relationship Id="rId10" Type="http://schemas.openxmlformats.org/officeDocument/2006/relationships/hyperlink" Target="consultantplus://offline/ref=4EF50F7825DA393ACA84A04C9A9D2EFA0E9549A47CF59AABE0920AE08CACB0E27E9889048AF7744E91E2DED24B7CE7FA13pAL6H" TargetMode="External"/><Relationship Id="rId19" Type="http://schemas.openxmlformats.org/officeDocument/2006/relationships/hyperlink" Target="consultantplus://offline/ref=4EF50F7825DA393ACA84A04C9A9D2EFA0E9549A47CF59EACE1930AE08CACB0E27E98890498F72C4293E6C1D44F69B1AB56FA689A2AFAC892FF353F0EpC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50F7825DA393ACA84BE418CF172F20B9D17A87CFF91F9B9CE0CB7D3FCB6B72CD8D75DD9B73F4291F8C2D348p6LBH" TargetMode="External"/><Relationship Id="rId14" Type="http://schemas.openxmlformats.org/officeDocument/2006/relationships/hyperlink" Target="consultantplus://offline/ref=4EF50F7825DA393ACA84A04C9A9D2EFA0E9549A47CF59EACE1930AE08CACB0E27E98890498F72C4293E6C1D74069B1AB56FA689A2AFAC892FF353F0EpCL7H" TargetMode="Externa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2019-12-24T07:11:00Z</dcterms:created>
  <dcterms:modified xsi:type="dcterms:W3CDTF">2019-12-24T07:12:00Z</dcterms:modified>
</cp:coreProperties>
</file>