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ГОРОДСКОГО ОКРУГА САМАРА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августа 2012 г. N 1075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ОСНОВНЫХ ТРЕБОВАНИЙ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СРЕДСТВАМ НАРУЖНОЙ РЕКЛАМЫ И ИНФОРМАЦИИ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ГОРОДСКОГО ОКРУГА САМАРА И ПРИЗНАНИИ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УТРАТИВШИМИ</w:t>
      </w:r>
      <w:proofErr w:type="gramEnd"/>
      <w:r>
        <w:rPr>
          <w:rFonts w:ascii="Calibri" w:hAnsi="Calibri" w:cs="Calibri"/>
          <w:b/>
          <w:bCs/>
        </w:rPr>
        <w:t xml:space="preserve"> СИЛУ ОТДЕЛЬНЫХ МУНИЦИПАЛЬНЫХ ПРАВОВЫХ АКТОВ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городского округа Самара</w:t>
      </w:r>
      <w:proofErr w:type="gramEnd"/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11.12.2012 </w:t>
      </w:r>
      <w:hyperlink r:id="rId6" w:history="1">
        <w:r>
          <w:rPr>
            <w:rFonts w:ascii="Calibri" w:hAnsi="Calibri" w:cs="Calibri"/>
            <w:color w:val="0000FF"/>
          </w:rPr>
          <w:t>N 1584</w:t>
        </w:r>
      </w:hyperlink>
      <w:r>
        <w:rPr>
          <w:rFonts w:ascii="Calibri" w:hAnsi="Calibri" w:cs="Calibri"/>
        </w:rPr>
        <w:t xml:space="preserve">, от 06.03.2013 </w:t>
      </w:r>
      <w:hyperlink r:id="rId7" w:history="1">
        <w:r>
          <w:rPr>
            <w:rFonts w:ascii="Calibri" w:hAnsi="Calibri" w:cs="Calibri"/>
            <w:color w:val="0000FF"/>
          </w:rPr>
          <w:t>N 135</w:t>
        </w:r>
      </w:hyperlink>
      <w:r>
        <w:rPr>
          <w:rFonts w:ascii="Calibri" w:hAnsi="Calibri" w:cs="Calibri"/>
        </w:rPr>
        <w:t>,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27.06.2013 </w:t>
      </w:r>
      <w:hyperlink r:id="rId8" w:history="1">
        <w:r>
          <w:rPr>
            <w:rFonts w:ascii="Calibri" w:hAnsi="Calibri" w:cs="Calibri"/>
            <w:color w:val="0000FF"/>
          </w:rPr>
          <w:t>N 621</w:t>
        </w:r>
      </w:hyperlink>
      <w:r>
        <w:rPr>
          <w:rFonts w:ascii="Calibri" w:hAnsi="Calibri" w:cs="Calibri"/>
        </w:rPr>
        <w:t xml:space="preserve">, от 05.02.2014 </w:t>
      </w:r>
      <w:hyperlink r:id="rId9" w:history="1">
        <w:r>
          <w:rPr>
            <w:rFonts w:ascii="Calibri" w:hAnsi="Calibri" w:cs="Calibri"/>
            <w:color w:val="0000FF"/>
          </w:rPr>
          <w:t>N 106</w:t>
        </w:r>
      </w:hyperlink>
      <w:r>
        <w:rPr>
          <w:rFonts w:ascii="Calibri" w:hAnsi="Calibri" w:cs="Calibri"/>
        </w:rPr>
        <w:t>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Гражданским </w:t>
      </w:r>
      <w:hyperlink r:id="rId1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13.03.2006 N 38-ФЗ "О рекламе", </w:t>
      </w:r>
      <w:hyperlink r:id="rId13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городского округа Самара Самарской области постановляю: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основные </w:t>
      </w:r>
      <w:hyperlink w:anchor="Par38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средствам наружной рекламы и информации на территории городского округа Самара согласно приложению.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городского округа Самара от 22.06.2009 N 591 "Об утверждении Концепции размещения наружной рекламы и информации в городском округе Самара";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Главы городского округа Самара от 23.05.2007 N 322 "О формировании рекламно-информационной сети городского округа Самара";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городского округа Самара от 06.08.1996 N 1042 "О развитии услуг для населения по размещению информации и объявлений";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городского округа Самара от 02.04.2010 N 301 "Об утверждении Схемы размещения отдельно стоящих рекламных конструкций на объекте дорожного хозяйства - проспекте Ленина, расположенном по адресу: Самарская область, г. Самара, Октябрьский район, проспект Ленина в границах от ул. Полевой до ул. Ново-Садовой".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со дня его официального опубликования.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Постановления возложить на первого заместителя Главы городского округа Самара Кудряшова В.В.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Главы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Ю.М.РИМЕР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Приложение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городского округа Самара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августа 2012 г. N 1075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ОСНОВНЫЕ ТРЕБОВАНИЯ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СРЕДСТВАМ НАРУЖНОЙ РЕКЛАМЫ И ИНФОРМАЦИИ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ГОРОДСКОГО ОКРУГА САМАРА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городского округа Самара</w:t>
      </w:r>
      <w:proofErr w:type="gramEnd"/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11.12.2012 </w:t>
      </w:r>
      <w:hyperlink r:id="rId17" w:history="1">
        <w:r>
          <w:rPr>
            <w:rFonts w:ascii="Calibri" w:hAnsi="Calibri" w:cs="Calibri"/>
            <w:color w:val="0000FF"/>
          </w:rPr>
          <w:t>N 1584</w:t>
        </w:r>
      </w:hyperlink>
      <w:r>
        <w:rPr>
          <w:rFonts w:ascii="Calibri" w:hAnsi="Calibri" w:cs="Calibri"/>
        </w:rPr>
        <w:t xml:space="preserve">, от 06.03.2013 </w:t>
      </w:r>
      <w:hyperlink r:id="rId18" w:history="1">
        <w:r>
          <w:rPr>
            <w:rFonts w:ascii="Calibri" w:hAnsi="Calibri" w:cs="Calibri"/>
            <w:color w:val="0000FF"/>
          </w:rPr>
          <w:t>N 135</w:t>
        </w:r>
      </w:hyperlink>
      <w:r>
        <w:rPr>
          <w:rFonts w:ascii="Calibri" w:hAnsi="Calibri" w:cs="Calibri"/>
        </w:rPr>
        <w:t>,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27.06.2013 </w:t>
      </w:r>
      <w:hyperlink r:id="rId19" w:history="1">
        <w:r>
          <w:rPr>
            <w:rFonts w:ascii="Calibri" w:hAnsi="Calibri" w:cs="Calibri"/>
            <w:color w:val="0000FF"/>
          </w:rPr>
          <w:t>N 621</w:t>
        </w:r>
      </w:hyperlink>
      <w:r>
        <w:rPr>
          <w:rFonts w:ascii="Calibri" w:hAnsi="Calibri" w:cs="Calibri"/>
        </w:rPr>
        <w:t xml:space="preserve">, от 05.02.2014 </w:t>
      </w:r>
      <w:hyperlink r:id="rId20" w:history="1">
        <w:r>
          <w:rPr>
            <w:rFonts w:ascii="Calibri" w:hAnsi="Calibri" w:cs="Calibri"/>
            <w:color w:val="0000FF"/>
          </w:rPr>
          <w:t>N 106</w:t>
        </w:r>
      </w:hyperlink>
      <w:r>
        <w:rPr>
          <w:rFonts w:ascii="Calibri" w:hAnsi="Calibri" w:cs="Calibri"/>
        </w:rPr>
        <w:t>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1. Общие положения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Основные требования к средствам наружной рекламы и информации на территории городского округа Самара (далее - Требования) разработаны в целях организации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процессом формирования внешнего архитектурного облика и сложившейся застройки городского округа Самара, эксплуатацией средств наружной рекламы и информации, использованием имущества городского округа Самара для распространения наружной рекламы и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 xml:space="preserve">Требования разработаны в соответствии с Градостроительным </w:t>
      </w:r>
      <w:hyperlink r:id="rId2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13.03.2006 N 38-ФЗ "О рекламе", Федеральным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01.06.2005 N 53-ФЗ "О государственном языке Российской Федерации",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08.12.2008 N 142-ГД "Об объектах культурного наследия (памятниках истории и культуры) народов Российской</w:t>
      </w:r>
      <w:proofErr w:type="gramEnd"/>
      <w:r>
        <w:rPr>
          <w:rFonts w:ascii="Calibri" w:hAnsi="Calibri" w:cs="Calibri"/>
        </w:rPr>
        <w:t xml:space="preserve"> Федерации, расположенных на территории Самарской области",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Главы городского округа Самара от 10.06.2008 N 404 "Об утверждении Правил благоустройства, обеспечения чистоты и порядка на территории городского округа Самара", </w:t>
      </w:r>
      <w:hyperlink r:id="rId27" w:history="1">
        <w:r>
          <w:rPr>
            <w:rFonts w:ascii="Calibri" w:hAnsi="Calibri" w:cs="Calibri"/>
            <w:color w:val="0000FF"/>
          </w:rPr>
          <w:t>ГОСТом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размещения", а также другими нормативными правовыми актами, определяющих требования к размещению средств наружной рекламы и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Настоящие Требования содержат указания о местах установки, конструктивном исполнении, внешнем виде, об условиях эксплуатации рекламных и информационных конструкций с целью сохранения внешнего архитектурного облика и сложившейся застройки городского округа Самара и предотвращения возможных его нарушений, связанных с установкой, эксплуатацией и демонтажем средств наружной рекламы и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Соблюдение Требований обязательно для всех физических и юридических лиц независимо от формы собственности, а также для индивидуальных предпринимателей при установке, эксплуатации и демонтаже средств наружной рекламы и информации на территории городского округа Самара.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5"/>
      <w:bookmarkEnd w:id="4"/>
      <w:r>
        <w:rPr>
          <w:rFonts w:ascii="Calibri" w:hAnsi="Calibri" w:cs="Calibri"/>
        </w:rPr>
        <w:t>2. Средства наружной рекламы и информации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Информация, размещаемая в городском округе Самара, подразделяется на следующие виды: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городская информация;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информационное оформление предприятий, организаций и индивидуальных предпринимателей;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реклама;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социальная реклама.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К городской информации относятся: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информационные указатели ориентирования в городе: наименования улиц, площадей, набережных, мостов; номера и знаки домов, зданий; расписания движения пассажирского транспорта и прочие схемы и карты города и иные сведения, необходимые для ориентирования на территории города;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информация об объектах городской инфраструктуры: районах, микрорайонах, архитектурных ансамблях, садово-парковых комплексах;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справочные электронные терминалы, предназначенные для оперативного предоставления </w:t>
      </w:r>
      <w:r>
        <w:rPr>
          <w:rFonts w:ascii="Calibri" w:hAnsi="Calibri" w:cs="Calibri"/>
        </w:rPr>
        <w:lastRenderedPageBreak/>
        <w:t>справочной городской информации;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вывески органов власти;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стенды с информацией о проведении строительных, дорожных, аварийных и других видов работ, распространяемой в целях безопасности и информирования населения;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праздничное оформление города, размещаемое по тематическим планам в соответствии с постановлениями и распоряжениями Администрации городского округа Самара (различного рода декоративные элементы - мягкое стяговое оформление, флаги, световые установки, транспаранты-перетяжки, настенные панно, гирлянды и др.).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Информационное оформление организаций и индивидуальных предпринимателей осуществляется посредством установки вывесок.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Вывески - информационные конструкции, размещаемые на фасадах, крышах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объектов, в месте нахождения или осуществления деятельности организации или индивидуального предпринимателя, содержащие: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2"/>
      <w:bookmarkEnd w:id="5"/>
      <w:r>
        <w:rPr>
          <w:rFonts w:ascii="Calibri" w:hAnsi="Calibri" w:cs="Calibri"/>
        </w:rPr>
        <w:t>1) сведения о профиле деятельности организации, индивидуального предпринимателя и (или) виде реализуемых ими товаров, оказываемых услуг и (или) его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местонахождении (месте осуществления деятельности) данной организации, индивидуального предпринимателя;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3"/>
      <w:bookmarkEnd w:id="6"/>
      <w:r>
        <w:rPr>
          <w:rFonts w:ascii="Calibri" w:hAnsi="Calibri" w:cs="Calibri"/>
        </w:rPr>
        <w:t xml:space="preserve">2) сведения, размещаемые в соответствии с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07.02.1992 N 2300-1 "О защите прав потребителей".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2.3 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Размещение средств городской информации и средств информационного оформления организаций и индивидуальных предпринимателей осуществляется на информационных конструкциях.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Информационная конструкция - техническое средство стабильного территориального размещения, предназначенное для информирования граждан и соответствующее положениям, установленным настоящими Требованиями.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2.3.1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Оформление разрешительной документации на установку и эксплуатацию средств городской информации не требуется.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2.4 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К средствам наружной рекламы в целях настоящих Требований относятся технические средства стабильного территориального размещения рекламы.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Социальная реклама представляет общественные и государственные интересы и направлена на достижение благотворительных целей.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социальной рекламе не должны упоминаться коммерческие организации и индивидуальные предприниматели, а также конкретные марки (модели, артикулы) их товаров, равно как и марки (модели, артикулы) товаров, являющихся результатом предпринимательской деятельности некоммерческих организаций.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84"/>
      <w:bookmarkEnd w:id="7"/>
      <w:r>
        <w:rPr>
          <w:rFonts w:ascii="Calibri" w:hAnsi="Calibri" w:cs="Calibri"/>
        </w:rPr>
        <w:t>3. Общие требования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средствам наружной рекламы и информации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proofErr w:type="gramStart"/>
      <w:r>
        <w:rPr>
          <w:rFonts w:ascii="Calibri" w:hAnsi="Calibri" w:cs="Calibri"/>
        </w:rPr>
        <w:t xml:space="preserve">Установка, эксплуатация и внешний вид средств наружной рекламы и информации в городском округе Самара должны соответствовать Федеральному </w:t>
      </w:r>
      <w:hyperlink r:id="rId35" w:history="1">
        <w:r>
          <w:rPr>
            <w:rFonts w:ascii="Calibri" w:hAnsi="Calibri" w:cs="Calibri"/>
            <w:color w:val="0000FF"/>
          </w:rPr>
          <w:t>закону</w:t>
        </w:r>
      </w:hyperlink>
      <w:r>
        <w:rPr>
          <w:rFonts w:ascii="Calibri" w:hAnsi="Calibri" w:cs="Calibri"/>
        </w:rPr>
        <w:t xml:space="preserve"> от 13.03.2006 N 38-ФЗ "О рекламе", </w:t>
      </w:r>
      <w:hyperlink r:id="rId36" w:history="1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 благоустройства, обеспечения чистоты и порядка на территории городского округа Самара, утвержденным постановлением Главы городского округа Самара от 10.06.2008 N 404, техническим регламентам, а также другим нормативным правовым актам, регулирующим отношения в сфере наружной рекламы и</w:t>
      </w:r>
      <w:proofErr w:type="gramEnd"/>
      <w:r>
        <w:rPr>
          <w:rFonts w:ascii="Calibri" w:hAnsi="Calibri" w:cs="Calibri"/>
        </w:rPr>
        <w:t xml:space="preserve">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Внешний вид и дизайн всех типов рекламных и информационных конструкций должны соответствовать типовому сборнику рекламных и информационных конструкций согласно приложению (не приводится) к настоящим Требованиям.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3.3. Места установки средств наружной рекламы на территории городского округа Самара определяются в соответствии со Схемой размещения рекламных конструкций на территории городского округа Самара, утверждаемой постановлением Администрации городского округа Самара.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Средства наружной рекламы должны иметь маркировку с указанием владельца, номера его телефона и номера, присвоенного в реестре объектов наружной рекламы и информации на территории городского округа Самара. Размер текста должен обеспечивать его прочтение с ближайшей полосы движения транспортных средств или движения пешеходов.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наружной информации (городская информация и информационное оформление предприятий, организаций и индивидуальных предпринимателей) должны содержать сведения о присвоенном в реестре объектов наружной рекламы и информации на территории городского округа Самара номере.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Содержание информации, размещаемой на средствах наружной рекламы и информации, должно соответствовать требованиям действующего законодательства.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Надписи на средствах наружной рекламы и информации должны выполняться на русском языке.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Допускается размещение на средствах наружной рекламы и информации декоративных элементов, а также обозначений или их комбинаций на русском языке или в русской транслитерации, зарегистрированных в установленном порядке в качестве товарных знаков или знаков обслуживания.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владелец средств наружной рекламы и информации должен обладать правом на использование товарного знака или знака обслуживания, зарегистрированного в установленном законодательством порядке.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Не допускается использование в текстах, нанесенных на средства наружной рекламы и информации, иностранных слов и выражений, которые могут привести к искажению смысла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02"/>
      <w:bookmarkEnd w:id="8"/>
      <w:r>
        <w:rPr>
          <w:rFonts w:ascii="Calibri" w:hAnsi="Calibri" w:cs="Calibri"/>
        </w:rPr>
        <w:t>4. Типы средств наружной рекламы и информации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Стационарные средства наружной рекламы и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05"/>
      <w:bookmarkEnd w:id="9"/>
      <w:r>
        <w:rPr>
          <w:rFonts w:ascii="Calibri" w:hAnsi="Calibri" w:cs="Calibri"/>
        </w:rPr>
        <w:t>4.1.1. Щитовые установки.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Щитовые установки подразделяются по площади информационного поля одной стороны на следующие виды: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малого формата (до 4,5 кв. м включительно);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среднего формата (от 4,5 до 10 кв. м включительно);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большого формата (от 10 до 18 кв. м включительно);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сверхбольшого формата (более 18 кв. м).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щитовым установкам малого формата относятся: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отдельно стоящие конструкции типа "Пиллар" с размером рекламного поля одной поверхности 3 м x 1,4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рекламные установки типа "Пилон" с размером рекламного поля одной поверхности 1,8 м x 1,2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отдельно стоящие конструкции типа "ХоРеКа" с размером рекламного поля одной поверхности 1,8 м x 1,2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отдельно стоящие конструкции типа "Афишный стенд" с размером рекламного поля одной поверхности 1,8 м x 1,8 м, предназначенные для размещения рекламы концертов, театральных постановок, выставок, музейных экспозиций, кинопоказов и иных массовых культурных мероприятий;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05.02.2014 N 106)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отдельно стоящие конструкции типа "Информационный стенд" 1,5 м x 1,5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остановочные павильоны с элементами рекламы и информации;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остановочные площадки с элементами рекламы и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щитовым установкам среднего формата относятся щитовые установки типа "Ситиборд" с размером рекламного поля одной поверхности 2,7 м x 3,7 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щитовым установкам большого формата относятся щитовые установки с размером рекламного поля одной поверхности 3 м x 6 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щитовым установкам сверхбольшого формата относятся: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щитовые установки с размером рекламного поля одной поверхности 5 м x 15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щитовые установки с размером рекламного поля одной поверхности 4 м x 12 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4.1.2. </w:t>
      </w:r>
      <w:proofErr w:type="gramStart"/>
      <w:r>
        <w:rPr>
          <w:rFonts w:ascii="Calibri" w:hAnsi="Calibri" w:cs="Calibri"/>
        </w:rPr>
        <w:t>Уличные информационно-коммуникационные указатели расположения городских объектов - двусторонние или односторонние плоскостные модульные конструкции с внутренним подсветом, устанавливаемые на опорах (собственных опорах, опорах городского освещения, опорах контактной сети) и содержащие информацию об уличной системе (названия улиц, проспектов, площадей, переулков и т.п.), местонахождении учреждений и организаций городского значения, культурно-исторических памятников, предприятий и организаций потребительского рынка, прочих объектов городской инфраструктуры.</w:t>
      </w:r>
      <w:proofErr w:type="gramEnd"/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05.02.2014 N 106)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Максимальный размер модуля уличного информационно-коммуникационного указателя не должен превышать 1,2 м x 1,8 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28"/>
      <w:bookmarkEnd w:id="10"/>
      <w:r>
        <w:rPr>
          <w:rFonts w:ascii="Calibri" w:hAnsi="Calibri" w:cs="Calibri"/>
        </w:rPr>
        <w:t>4.1.3. Рекламно-информационные знаки.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в целях информационного обеспечения объектов узкого профиля вблизи дорог (например, закусочных, предприятий по ремонту шин, карбюраторов, амортизаторов, магазинов запасных частей).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Рекламно-информационные знаки вносятся в проекты организации дорожного движения с согласованием изменений в установленном порядке и размещаются в соответствии с требованиями </w:t>
      </w:r>
      <w:hyperlink r:id="rId43" w:history="1">
        <w:r>
          <w:rPr>
            <w:rFonts w:ascii="Calibri" w:hAnsi="Calibri" w:cs="Calibri"/>
            <w:color w:val="0000FF"/>
          </w:rPr>
          <w:t xml:space="preserve">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52289-2004</w:t>
        </w:r>
      </w:hyperlink>
      <w:r>
        <w:rPr>
          <w:rFonts w:ascii="Calibri" w:hAnsi="Calibri" w:cs="Calibri"/>
        </w:rPr>
        <w:t xml:space="preserve">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информационного поля рекламно-информационного знака определяется по его внешним габаритным размерам.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4.1.4. Уникальные (нестандартные) средства наружной рекламы и информации, выполненные по </w:t>
      </w:r>
      <w:proofErr w:type="gramStart"/>
      <w:r>
        <w:rPr>
          <w:rFonts w:ascii="Calibri" w:hAnsi="Calibri" w:cs="Calibri"/>
        </w:rPr>
        <w:t>индивидуальным проектам</w:t>
      </w:r>
      <w:proofErr w:type="gramEnd"/>
      <w:r>
        <w:rPr>
          <w:rFonts w:ascii="Calibri" w:hAnsi="Calibri" w:cs="Calibri"/>
        </w:rPr>
        <w:t xml:space="preserve">, - конструкции, имеющие формат, отличный от иных форматов, предусмотренных настоящими Требованиями, и не указанные в </w:t>
      </w:r>
      <w:hyperlink w:anchor="Par105" w:history="1">
        <w:r>
          <w:rPr>
            <w:rFonts w:ascii="Calibri" w:hAnsi="Calibri" w:cs="Calibri"/>
            <w:color w:val="0000FF"/>
          </w:rPr>
          <w:t>подпунктах 4.1.1</w:t>
        </w:r>
      </w:hyperlink>
      <w:r>
        <w:rPr>
          <w:rFonts w:ascii="Calibri" w:hAnsi="Calibri" w:cs="Calibri"/>
        </w:rPr>
        <w:t xml:space="preserve"> - </w:t>
      </w:r>
      <w:hyperlink w:anchor="Par128" w:history="1">
        <w:r>
          <w:rPr>
            <w:rFonts w:ascii="Calibri" w:hAnsi="Calibri" w:cs="Calibri"/>
            <w:color w:val="0000FF"/>
          </w:rPr>
          <w:t>4.1.3</w:t>
        </w:r>
      </w:hyperlink>
      <w:r>
        <w:rPr>
          <w:rFonts w:ascii="Calibri" w:hAnsi="Calibri" w:cs="Calibri"/>
        </w:rPr>
        <w:t xml:space="preserve">, </w:t>
      </w:r>
      <w:hyperlink w:anchor="Par136" w:history="1">
        <w:r>
          <w:rPr>
            <w:rFonts w:ascii="Calibri" w:hAnsi="Calibri" w:cs="Calibri"/>
            <w:color w:val="0000FF"/>
          </w:rPr>
          <w:t>4.1.5</w:t>
        </w:r>
      </w:hyperlink>
      <w:r>
        <w:rPr>
          <w:rFonts w:ascii="Calibri" w:hAnsi="Calibri" w:cs="Calibri"/>
        </w:rPr>
        <w:t xml:space="preserve"> - </w:t>
      </w:r>
      <w:hyperlink w:anchor="Par156" w:history="1">
        <w:r>
          <w:rPr>
            <w:rFonts w:ascii="Calibri" w:hAnsi="Calibri" w:cs="Calibri"/>
            <w:color w:val="0000FF"/>
          </w:rPr>
          <w:t>4.1.9</w:t>
        </w:r>
      </w:hyperlink>
      <w:r>
        <w:rPr>
          <w:rFonts w:ascii="Calibri" w:hAnsi="Calibri" w:cs="Calibri"/>
        </w:rPr>
        <w:t xml:space="preserve"> настоящих Требований. Площадь информационного поля уникальных (нестандартных) средств наружной рекламы и информации, выполненных по </w:t>
      </w:r>
      <w:proofErr w:type="gramStart"/>
      <w:r>
        <w:rPr>
          <w:rFonts w:ascii="Calibri" w:hAnsi="Calibri" w:cs="Calibri"/>
        </w:rPr>
        <w:t>индивидуальным проектам</w:t>
      </w:r>
      <w:proofErr w:type="gramEnd"/>
      <w:r>
        <w:rPr>
          <w:rFonts w:ascii="Calibri" w:hAnsi="Calibri" w:cs="Calibri"/>
        </w:rPr>
        <w:t xml:space="preserve">, определяется расчетным путем. К уникальным (нестандартным) средствам наружной рекламы и информации, выполненным по </w:t>
      </w:r>
      <w:proofErr w:type="gramStart"/>
      <w:r>
        <w:rPr>
          <w:rFonts w:ascii="Calibri" w:hAnsi="Calibri" w:cs="Calibri"/>
        </w:rPr>
        <w:t>индивидуальным проектам</w:t>
      </w:r>
      <w:proofErr w:type="gramEnd"/>
      <w:r>
        <w:rPr>
          <w:rFonts w:ascii="Calibri" w:hAnsi="Calibri" w:cs="Calibri"/>
        </w:rPr>
        <w:t>, относятся в том числе: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объемно-пространственные объекты - конструкции или композиции ландшафтного оформления территории, на которых для распространения рекламной информации используется как объем объекта, так и его поверхность;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проекционные установки - средства наружной рекламы и информации, предназначенные для воспроизведения изображения на земле, на плоскостях стен и в объеме. Конструкции проекционных установок состоят из проецирующего устройства и поверхности (экрана) или объема, в котором формируется информационное изображение. Площадь информационного поля для плоских изображений определяется габаритами проецируемой поверхности, а для объемных изображений определяется расчетным путем.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4.1.4 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36"/>
      <w:bookmarkEnd w:id="11"/>
      <w:r>
        <w:rPr>
          <w:rFonts w:ascii="Calibri" w:hAnsi="Calibri" w:cs="Calibri"/>
        </w:rPr>
        <w:t>4.1.5. Флаговые композиции и навесы - конструкции, состоящие из основания, одного или нескольких флагштоков (стоек) и мягких полотнищ. Флаги могут устанавливаться на отдельных опорах, опоре освещения, на зданиях и сооружениях.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информационного поля флага определяется площадью двух сторон его полотнища.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информационного поля навеса определяется размером одной из его сторон.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4.1.6. Крышные рекламные установки - конструкции (объемные или плоскостные), </w:t>
      </w:r>
      <w:r>
        <w:rPr>
          <w:rFonts w:ascii="Calibri" w:hAnsi="Calibri" w:cs="Calibri"/>
        </w:rPr>
        <w:lastRenderedPageBreak/>
        <w:t>устанавливаемые полностью или частично выше уровня карниза здания или на крыше. Крышные рекламные установки состоят из элементов крепления, несущей части конструкции и информационной установки.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информационного поля крышных рекламных установок при расчете суммы оплаты определяется по площади прямоугольника, в который полностью вписывается рекламная информация.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4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4.1.7. Настенные панно - рекламная информация на плоскости стен зданий в виде: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изображения (информационного поля), непосредственно нанесенного на стену;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рекламной конструкции, состоящей из элементов крепления к стене, каркаса и информационного поля.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Настенные панно выполняются по типовым или </w:t>
      </w:r>
      <w:proofErr w:type="gramStart"/>
      <w:r>
        <w:rPr>
          <w:rFonts w:ascii="Calibri" w:hAnsi="Calibri" w:cs="Calibri"/>
        </w:rPr>
        <w:t>индивидуальным проектам</w:t>
      </w:r>
      <w:proofErr w:type="gramEnd"/>
      <w:r>
        <w:rPr>
          <w:rFonts w:ascii="Calibri" w:hAnsi="Calibri" w:cs="Calibri"/>
        </w:rPr>
        <w:t>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настенных панно, имеющих элементы крепления к стене, в обязательном порядке разрабатывается проект крепления объекта с целью обеспечения безопасности при эксплуатации.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информационного поля настенного панно определяется габаритами каркаса информационного поля.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допускаются установка и эксплуатация на главных фасадах зданий крупноразмерных средств наружной рекламы и информации, закрывающих архитектурные детали, декоративное оформление, остекление витрин и окон и искажающих тем самым целостность восприятия архитектуры.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4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4.1.8. Электронные экраны (видеоэкраны) - конструкции, предназначенные для воспроизведения изображения на плоскости экрана за счет светоизлучения светодиодов, ламп, иных источников света или светоотражающих элементов.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информационного поля указанных конструкций определяется габаритами светоизлучающей поверхности.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Электронные экраны должны иметь декоративно оформленную обратную сторону.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Электронные экраны, установленные на крышах зданий и сооружений, должны быть оборудованы системой аварийного отключения от сети электропитания.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исторической части города установка электронных экранов не допускается.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4.1.8 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56"/>
      <w:bookmarkEnd w:id="12"/>
      <w:r>
        <w:rPr>
          <w:rFonts w:ascii="Calibri" w:hAnsi="Calibri" w:cs="Calibri"/>
        </w:rPr>
        <w:t>4.1.9. Маркизы - рекламные конструкции, выполненные в виде козырьков и навесов с нанесенной на них рекламной информацией и размещенные над витринами, входами или проемами зданий и сооружений.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Маркизы состоят из элементов крепления к зданию, каркаса и информационного поля, выполненного на мягкой или жесткой основе.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информационного поля маркизы определяется габаритами нанесенного изображения.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4.1.10. Панели-кронштейны - двусторонние консольные плоскостные конструкции, устанавливаемые на опорах (опорах городского освещения, опорах контактной сети) или на зданиях.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Максимальный размер конструкции не должен превышать 1,2 м x 1,8 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Панели-кронштейны, устанавливаемые на опорах, должны быть размещены на высоте не менее 2,5 м от поверхности земли.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Размещение на опоре более одной конструкции не допускается.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Панели-кронштейны, устанавливаемые на зданиях, должны быть размещены не выше линии второго этажа (линии перекрытий между первым и вторым этажами) зданий.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4.1.10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05.02.2014 N 106)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Временные средства наружной рекламы и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4.2.1. Выносные щитовые конструкции (штендеры) - конструкции, устанавливаемые в городе организациями в часы их работы.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Штендеры должны быть двусторонними, не должны иметь собственного подсвета, площадь </w:t>
      </w:r>
      <w:r>
        <w:rPr>
          <w:rFonts w:ascii="Calibri" w:hAnsi="Calibri" w:cs="Calibri"/>
        </w:rPr>
        <w:lastRenderedPageBreak/>
        <w:t>одной стороны не должна превышать 1,5 кв. 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Штендеры устанавливаются в пешеходных зонах и на тротуарах в пределах 5 м от входа в здание.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установка и эксплуатация штендеров, препятствующих проходу пешеходов, при ширине тротуара менее 3 м, а также ориентированных на восприятие с проезжей части.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установка и эксплуатация более двух штендеров у входа в здание, а также использование штендеров в качестве дополнительного средства наружной рекламы при наличии хорошо просматриваемых с тротуара вывески и витрин.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4.2.2. Средства наружной рекламы и информации на ограждениях территорий строительных площадок, автостоянок, объектов розничной (уличной) торговли (летних кафе, выставок, ярмарок), а также других объектов должны обеспечивать их художественное оформление.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оформлять указанные средства наружной рекламы и информации отдельными щитами, мягким оформлением или сплошной лентой.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 применения щитовых конструкций высота щитов не должна превышать размеров несущих элементов ограждений более чем на 1/2 их высоты. При установке средств наружной рекламы и информации на ограждениях строительных площадок высотой более 10 м указанное ограждение должно быть внесено в проект организации строительства.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4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4.2.3. Средства наружной рекламы и информации на строительных сетках - временные средства наружной рекламы в виде изображений на сетках, ограждающих объекты строительства.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Установка и эксплуатация наружной рекламы и информации на строительных сетках производится при проведении строительных или реставрационных работ на внешней стороне (фасаде) здания, на строительных ограждающих конструкциях (лесах) при наличии и на срок действия разрешения на строительство.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исторической части города и на территориях, прилегающих к памятникам истории и архитектуры, культовым сооружениям, разрешается размещение строительной сетки только с изображением фасадов реконструируемых зданий с возможностью использования под коммерческую рекламу до 30% поверхности строительной сетки.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5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информационного поля средства наружной рекламы и информации на строительной сетке определяется габаритами нанесенного изображения.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Требования к вывескам, содержащим сведения, указанные в </w:t>
      </w:r>
      <w:hyperlink w:anchor="Par72" w:history="1">
        <w:r>
          <w:rPr>
            <w:rFonts w:ascii="Calibri" w:hAnsi="Calibri" w:cs="Calibri"/>
            <w:color w:val="0000FF"/>
          </w:rPr>
          <w:t>подпункте 1 пункта 2.3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4.3.1. Вывески размещаются за счет средств организации, индивидуального предпринимателя, сведения о котором содержатся в данных информационных конструкциях и в месте фактического нахождения (осуществления деятельности) которого указанные информационные конструкции размещены.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05.02.2014 N 106)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4.3.2. </w:t>
      </w:r>
      <w:proofErr w:type="gramStart"/>
      <w:r>
        <w:rPr>
          <w:rFonts w:ascii="Calibri" w:hAnsi="Calibri" w:cs="Calibri"/>
        </w:rPr>
        <w:t>Содержание вывесок, размещенных на внешних поверхностях зданий, строений, сооружений (далее - объекты), осуществляется собственниками (правообладателями) данных объектов.</w:t>
      </w:r>
      <w:proofErr w:type="gramEnd"/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4.3.3. На вывеске в целях извещения неопределенного круга лиц о фактическом местонахождении (месте осуществления деятельности) данной организации, индивидуального предпринимателя допускается размещать: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профиле деятельности;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виде реализуемых товаров, оказываемых услуг;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(фирменное наименование, коммерческое обозначение);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зарегистрированные в установленном порядке товарные знаки и знаки обслуживания. Собственник (правообладатель) вывески, указанной в подпункте 1 пункта 2.3 настоящих Требований, должен обладать правами на использование товарного знака или знака обслуживания, размещенных на вывеске.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4.3.4. Размещение на вывесках прочей информации считается рекламой и подлежит </w:t>
      </w:r>
      <w:r>
        <w:rPr>
          <w:rFonts w:ascii="Calibri" w:hAnsi="Calibri" w:cs="Calibri"/>
        </w:rPr>
        <w:lastRenderedPageBreak/>
        <w:t>оформлению в порядке, утвержденном постановлением Администрации городского округа Самара.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4.3.5. Вывески могут размещаться: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выше линии второго этажа (линии перекрытий между первым и вторым этажами) зданий, строений, сооружений. Размещение выше линии второго этажа не допускается, за исключением случая, предусмотренного </w:t>
      </w:r>
      <w:hyperlink w:anchor="Par198" w:history="1">
        <w:r>
          <w:rPr>
            <w:rFonts w:ascii="Calibri" w:hAnsi="Calibri" w:cs="Calibri"/>
            <w:color w:val="0000FF"/>
          </w:rPr>
          <w:t>абзацем восьмым подпункта 4.3.5</w:t>
        </w:r>
      </w:hyperlink>
      <w:r>
        <w:rPr>
          <w:rFonts w:ascii="Calibri" w:hAnsi="Calibri" w:cs="Calibri"/>
        </w:rPr>
        <w:t xml:space="preserve"> настоящих Требований;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92"/>
      <w:bookmarkEnd w:id="13"/>
      <w:r>
        <w:rPr>
          <w:rFonts w:ascii="Calibri" w:hAnsi="Calibri" w:cs="Calibri"/>
        </w:rPr>
        <w:t xml:space="preserve">на плоских участках фасада, свободных от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</w:t>
      </w:r>
      <w:proofErr w:type="gramStart"/>
      <w:r>
        <w:rPr>
          <w:rFonts w:ascii="Calibri" w:hAnsi="Calibri" w:cs="Calibri"/>
        </w:rPr>
        <w:t>занимаемым</w:t>
      </w:r>
      <w:proofErr w:type="gramEnd"/>
      <w:r>
        <w:rPr>
          <w:rFonts w:ascii="Calibri" w:hAnsi="Calibri" w:cs="Calibri"/>
        </w:rPr>
        <w:t xml:space="preserve"> данными организациями, индивидуальными предпринимателями помещениями;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Настенные конструкции размещаются над входом или окнами (витринами) помещений, указанных в </w:t>
      </w:r>
      <w:hyperlink w:anchor="Par192" w:history="1">
        <w:r>
          <w:rPr>
            <w:rFonts w:ascii="Calibri" w:hAnsi="Calibri" w:cs="Calibri"/>
            <w:color w:val="0000FF"/>
          </w:rPr>
          <w:t>абзаце третьем подпункта 4.3.5</w:t>
        </w:r>
      </w:hyperlink>
      <w:r>
        <w:rPr>
          <w:rFonts w:ascii="Calibri" w:hAnsi="Calibri" w:cs="Calibri"/>
        </w:rPr>
        <w:t xml:space="preserve"> настоящих Требований. Высота информационного поля настенной конструкции не должна превышать 0,5 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05.02.2014 N 106)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Консольные конструкции размещаются у арок, на границах и внешних углах зданий, строений, сооружений. Расстояние между консольными конструкциями, расположенными последовательно в одной горизонтальной плоскости фасада, не может быть менее 10 м. Консольная конструкция не должна выступать от плоскости фасада более чем на 1 м. Расстояние от уровня земли до нижнего края консольной конструкции должно быть: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менее 2,5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98"/>
      <w:bookmarkEnd w:id="14"/>
      <w:proofErr w:type="gramStart"/>
      <w:r>
        <w:rPr>
          <w:rFonts w:ascii="Calibri" w:hAnsi="Calibri" w:cs="Calibri"/>
        </w:rPr>
        <w:t>на фасадах объектов культурного наследия, только в форме настенных конструкций, состоящих исключительно из отдельных объемных символов высотой не более 0,5 м, или консольных конструкций из декоративных элементов, в том числе с организацией внутренней подсветки, с габаритами не более 0,5 м x 0,5 м. Настенная конструкция не должна выступать от плоскости фасада более чем на 0,2 м;</w:t>
      </w:r>
      <w:proofErr w:type="gramEnd"/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крышах зданий, строений, сооружений при условии, если единственным правообладателем указанного здания, строения, сооружения является организация,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4.3.6. </w:t>
      </w:r>
      <w:proofErr w:type="gramStart"/>
      <w:r>
        <w:rPr>
          <w:rFonts w:ascii="Calibri" w:hAnsi="Calibri" w:cs="Calibri"/>
        </w:rPr>
        <w:t>Вывески, содержащие сведения об организациях, индивидуальных предпринимателях, фактическое местоположение (место осуществления деятельности) которых расположено в помещениях, имеющих выход не со стороны основной улицы или площади, либо в помещениях на этажах выше линии второго этажа (линии перекрытий между первым и вторым этажами), могут устанавливаться на фасаде объекта не выше линии второго этажа (линии перекрытий между первым и вторым этажами) только при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условии</w:t>
      </w:r>
      <w:proofErr w:type="gramEnd"/>
      <w:r>
        <w:rPr>
          <w:rFonts w:ascii="Calibri" w:hAnsi="Calibri" w:cs="Calibri"/>
        </w:rPr>
        <w:t xml:space="preserve"> предварительного согласования места их размещения с соответствующим собственником (правообладателем) помещения, расположенного на данном уровне.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4.3.7. Организация, индивидуальный предприниматель вправе установить только одну вывеску, в том числе в виде комплекса идентичных взаимосвязанных элементов одной вывески.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4.3.8.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в два раза. Элементы одного информационного поля (текстовой части) вывески должны иметь одинаковую высоту и глубину.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4.3.9. На вывеске может быть организована подсветка.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Подсветка вывески должна иметь немерцающий, приглушенный свет, не создавать прямых направленных лучей в окна жилых помещений.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вывесок не допускается перекрытие оконных и дверных проемов, а также витражей и витрин.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4.3.10. Максимальный размер вывесок в форме настенных конструкций, размещаемых </w:t>
      </w:r>
      <w:r>
        <w:rPr>
          <w:rFonts w:ascii="Calibri" w:hAnsi="Calibri" w:cs="Calibri"/>
        </w:rPr>
        <w:lastRenderedPageBreak/>
        <w:t>организациями, индивидуальными предпринимателями на внешних поверхностях зданий, строений, сооружений (кроме крыши), не должен превышать: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0,5 м (по высоте);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60% от длины фасада, соответствующей занимаемым данными организациями, индивидуальными предпринимателями помещениям, но не более 10 м (по длине).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4.3.11. Вывески, допускаемые к размещению на крышах зданий, строений, сооружений, представляют собой объемные символы, которые могут быть оборудованы исключительно внутренней подсветкой.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Высота вывесок, размещаемых на крышах зданий, строений, сооружений, должна быть: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0,8 м для 1 - 2-этажных объектов;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1,2 м для 3 - 5-этажных объектов;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1,8 м для 6 - 9-этажных объектов;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2,2 м для 10 - 15-этажных объектов;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3 м для объектов, имеющих 16 и более этажей.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4.3.12. Вывески могут размещаться на внешних поверхностях нестационарных торговых объектов лицами, которым предоставлено право на размещение данных нестационарных торговых объектов за счет их средств и в соответствии с нормативными правовыми актами в области регулирования торговой деятельности.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Требования к вывескам, содержащим сведения, указанные в </w:t>
      </w:r>
      <w:hyperlink w:anchor="Par73" w:history="1">
        <w:r>
          <w:rPr>
            <w:rFonts w:ascii="Calibri" w:hAnsi="Calibri" w:cs="Calibri"/>
            <w:color w:val="0000FF"/>
          </w:rPr>
          <w:t>подпункте 2 пункта 2.3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4.4.1. </w:t>
      </w:r>
      <w:proofErr w:type="gramStart"/>
      <w:r>
        <w:rPr>
          <w:rFonts w:ascii="Calibri" w:hAnsi="Calibri" w:cs="Calibri"/>
        </w:rPr>
        <w:t>Вывески размещаются на доступном для обозрения месте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в данной вывеске, или в пределах указанного помещения, а также на ярмарках, лотках и в других местах осуществления организацией, индивидуальным предпринимателем торговли, оказания услуг вне его места</w:t>
      </w:r>
      <w:proofErr w:type="gramEnd"/>
      <w:r>
        <w:rPr>
          <w:rFonts w:ascii="Calibri" w:hAnsi="Calibri" w:cs="Calibri"/>
        </w:rPr>
        <w:t xml:space="preserve"> нахождения.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4.4.2. На вывеске организациям, индивидуальным предпринимателям допускается размещать информацию о: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зарегистрированном (юридическом) </w:t>
      </w:r>
      <w:proofErr w:type="gramStart"/>
      <w:r>
        <w:rPr>
          <w:rFonts w:ascii="Calibri" w:hAnsi="Calibri" w:cs="Calibri"/>
        </w:rPr>
        <w:t>наименовании</w:t>
      </w:r>
      <w:proofErr w:type="gramEnd"/>
      <w:r>
        <w:rPr>
          <w:rFonts w:ascii="Calibri" w:hAnsi="Calibri" w:cs="Calibri"/>
        </w:rPr>
        <w:t xml:space="preserve"> предприятия;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организационно-правовой форме;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режиме</w:t>
      </w:r>
      <w:proofErr w:type="gramEnd"/>
      <w:r>
        <w:rPr>
          <w:rFonts w:ascii="Calibri" w:hAnsi="Calibri" w:cs="Calibri"/>
        </w:rPr>
        <w:t xml:space="preserve"> работы.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4.4.3. Вывески размещаются за счет средств организации, индивидуального предпринимателя, сведения о котором содержатся в данных вывесках.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4.4.4. Для каждой организации, индивидуального предпринимателя на одном объекте может быть установлена только одна вывеска.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226"/>
      <w:bookmarkEnd w:id="15"/>
      <w:r>
        <w:rPr>
          <w:rFonts w:ascii="Calibri" w:hAnsi="Calibri" w:cs="Calibri"/>
        </w:rPr>
        <w:t>4.4.5. Допустимый размер вывески составляет не более 0,60 м по горизонтали и 0,40 м по вертикали. Высота букв, знаков, размещаемых на данной вывеске, - не более 0,10 м.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4.4.6. В случае размещения в одном объекте нескольких организаций, индивидуальных предпринимателей общая площадь вывесок, устанавливаемых на фасадах объекта перед одним входом, не должна превышать 2 кв. м. При этом размеры вывесок, размещаемых перед одним входом, должны быть идентичными и не превышать размеры, установленные </w:t>
      </w:r>
      <w:hyperlink w:anchor="Par226" w:history="1">
        <w:r>
          <w:rPr>
            <w:rFonts w:ascii="Calibri" w:hAnsi="Calibri" w:cs="Calibri"/>
            <w:color w:val="0000FF"/>
          </w:rPr>
          <w:t>подпунктом 4.4.5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4.4.7. Размещение вывесок на оконных и дверных проемах не допускается.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вывески могут иметь внутреннюю подсветку. Внутренняя подсветка вывески должна иметь немерцающий, приглушенный свет, не создавать прямых направленных лучей в окна жилых помещений.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232"/>
      <w:bookmarkEnd w:id="16"/>
      <w:r>
        <w:rPr>
          <w:rFonts w:ascii="Calibri" w:hAnsi="Calibri" w:cs="Calibri"/>
        </w:rPr>
        <w:t>5. Требования к оформлению и установке средств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наружной рекламы и информации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Щитовые установки выполняются, как правило, в двустороннем варианте.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Щитовые установки, выполненные в одностороннем варианте, должны иметь декоративно </w:t>
      </w:r>
      <w:r>
        <w:rPr>
          <w:rFonts w:ascii="Calibri" w:hAnsi="Calibri" w:cs="Calibri"/>
        </w:rPr>
        <w:lastRenderedPageBreak/>
        <w:t>оформленную обратную сторону.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Фундаменты отдельно стоящих щитовых установок не должны выступать над уровнем земли. В исключительных случаях, когда заглубление фундамента невозможно, допускается размещение фундаментов без заглубления при наличии бортового камня или дорожных ограждений (</w:t>
      </w:r>
      <w:hyperlink r:id="rId55" w:history="1">
        <w:r>
          <w:rPr>
            <w:rFonts w:ascii="Calibri" w:hAnsi="Calibri" w:cs="Calibri"/>
            <w:color w:val="0000FF"/>
          </w:rPr>
          <w:t xml:space="preserve">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52289-2004</w:t>
        </w:r>
      </w:hyperlink>
      <w:r>
        <w:rPr>
          <w:rFonts w:ascii="Calibri" w:hAnsi="Calibri" w:cs="Calibri"/>
        </w:rPr>
        <w:t xml:space="preserve"> "Технические средства организации дорожного движения. </w:t>
      </w:r>
      <w:proofErr w:type="gramStart"/>
      <w:r>
        <w:rPr>
          <w:rFonts w:ascii="Calibri" w:hAnsi="Calibri" w:cs="Calibri"/>
        </w:rPr>
        <w:t>Правила применения дорожных знаков, разметки, светофоров, дорожных ограждений и направляющих устройств").</w:t>
      </w:r>
      <w:proofErr w:type="gramEnd"/>
      <w:r>
        <w:rPr>
          <w:rFonts w:ascii="Calibri" w:hAnsi="Calibri" w:cs="Calibri"/>
        </w:rPr>
        <w:t xml:space="preserve"> При этом фундаменты должны быть декоративно оформлены в соответствии с эскизом, согласованным Департаментом благоустройства и экологии Администрации городского округа Самара.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В исторической части города допускаются установка и эксплуатация щитовых установок исключительно малого и среднего формата (площадью информационного поля одной стороны до 10 кв. м включительно).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Администрации городского округа Самара от 06.03.2013 </w:t>
      </w:r>
      <w:hyperlink r:id="rId56" w:history="1">
        <w:r>
          <w:rPr>
            <w:rFonts w:ascii="Calibri" w:hAnsi="Calibri" w:cs="Calibri"/>
            <w:color w:val="0000FF"/>
          </w:rPr>
          <w:t>N 135</w:t>
        </w:r>
      </w:hyperlink>
      <w:r>
        <w:rPr>
          <w:rFonts w:ascii="Calibri" w:hAnsi="Calibri" w:cs="Calibri"/>
        </w:rPr>
        <w:t xml:space="preserve">, от 05.02.2014 </w:t>
      </w:r>
      <w:hyperlink r:id="rId57" w:history="1">
        <w:r>
          <w:rPr>
            <w:rFonts w:ascii="Calibri" w:hAnsi="Calibri" w:cs="Calibri"/>
            <w:color w:val="0000FF"/>
          </w:rPr>
          <w:t>N 106</w:t>
        </w:r>
      </w:hyperlink>
      <w:r>
        <w:rPr>
          <w:rFonts w:ascii="Calibri" w:hAnsi="Calibri" w:cs="Calibri"/>
        </w:rPr>
        <w:t>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Установка средств наружной рекламы и информации в границах территорий объектов культурного наследия должна быть согласована с министерством культуры Самарской области.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На территории городского округа Самара не допускаются установка и эксплуатация средств наружной рекламы и информации: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над проезжей частью дорог (за исключением средств наружной рекламы и информации, установленных на строениях искусственных дорожных сооружений);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местах, где их установка может привести к ухудшению архитектурно-художественного облика городского округа либо препятствовать визуальному восприятию архитектуры городского округа: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территориях садов, парков, скверов (за исключением случаев проведения общегородских и праздничных мероприятий);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стационарных декоративных оградах садов, парков, скверов, набережной и других благоустроенных территорий;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местах, где их установка и эксплуатация могут наносить ущерб природному комплексу городского округа;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знаках дорожного движения, опоре, конструктивно предназначенной для размещения дорожных знаков, или любом ином приспособлении, предназначенном для регулирования дорожного движения;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железнодорожных переездах, в тоннелях и под путепроводами;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эстакадах и мостах, имеющих менее двух полос движения в каждую сторону;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подпорных стенах, деревьях и других природных объектах;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кровлях, лоджиях и балконах многоквартирных домов;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архитектурных деталях фасадов объектов (в том числе на колоннах, пилястрах, орнаментах, лепнине);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иных случаях, предусмотренных действующим законодательством, техническими регламентами.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57"/>
      <w:bookmarkEnd w:id="17"/>
      <w:r>
        <w:rPr>
          <w:rFonts w:ascii="Calibri" w:hAnsi="Calibri" w:cs="Calibri"/>
        </w:rPr>
        <w:t>5.6. Средства наружной рекламы и информации не должны: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иметь сходство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 или пешехода;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иметь дополнительных рекламных поверхностей, не предусмотренных проектом средства наружной рекламы и информации;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вызывать ослепление участников движения светом, в том числе отраженным. При внутреннем или наружном освещении рекламы и информации осветительные приборы должны быть установлены таким образом, чтобы исключить прямое попадание световых лучей на проезжую часть и в окна многоквартирных жилых домов;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загораживать информацию дорожных знаков и светофоров, создавать водителю помехи </w:t>
      </w:r>
      <w:r>
        <w:rPr>
          <w:rFonts w:ascii="Calibri" w:hAnsi="Calibri" w:cs="Calibri"/>
        </w:rPr>
        <w:lastRenderedPageBreak/>
        <w:t>для восприятия дорожной обстановки или эксплуатации транспортного средства;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являться помехой для передвижения пешеходов, проезда специализированной техники для механизированной уборки улиц и тротуаров;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воспроизводить звуки, которые могут быть услышаны в пределах проезжей части.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В полосах отвода автомобильных дорог нижний край рекламной конструкции должен быть размещен на высоте не менее 4,5 м от поверхности земли (асфальтового покрытия).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5.8. Допускается рекламное изображение, выходящее за рамки поля средства наружной рекламы и информации, но не более чем на 2 кв. м, при условии соблюдения </w:t>
      </w:r>
      <w:hyperlink w:anchor="Par257" w:history="1">
        <w:r>
          <w:rPr>
            <w:rFonts w:ascii="Calibri" w:hAnsi="Calibri" w:cs="Calibri"/>
            <w:color w:val="0000FF"/>
          </w:rPr>
          <w:t>пункта 5.6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 В случае отсутствия рекламной и иной информации на стационарном средстве наружной рекламы и информации, за исключением афишных и информационных стендов, рекламная (информационная) поверхность должна быть закрыта однотонным постером светлого тона.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6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5.10. Все средства наружной рекламы и информации должны содержаться их владельцами в надлежащем техническом, санитарном и эстетическом состоянии в течение всего срока их эксплуатации.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270"/>
      <w:bookmarkEnd w:id="18"/>
      <w:r>
        <w:rPr>
          <w:rFonts w:ascii="Calibri" w:hAnsi="Calibri" w:cs="Calibri"/>
        </w:rPr>
        <w:t>6. Технические требования к средствам наружной рекламы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информации. Порядок обеспечения безопасности и контроля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техническим состоянием, установкой, эксплуатацией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средств наружной рекламы и информации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Средства наружной рекламы и информации должны изготавливаться, монтироваться и эксплуатироваться в соответствии с проектной документацией.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Установка и эксплуатация средств наружной рекламы и информации без проектной документации не допускается.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Проектная документация не требуется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отдельно стоящие средства наружной рекламы и информации типа "Информационный стенд" с размером рекламного поля одной поверхности 1,5 м x 1,5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отдельно стоящие средства наружной рекламы и информации типа "Афишный стенд" с размером рекламного поля одной поверхности 1,8 м x 1,8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настенные панно площадью до 6,5 кв.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штендеры;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 наружной рекламы на ограждениях территорий строительных площадок, автостоянок, объектов розничной (уличной) торговли (летних кафе, выставок, ярмарок), а также других объектов площадью до 6,5 кв.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 наружной рекламы и информации на строительных сетках площадью до 6,5 кв. м;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06.03.2013 N 135)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вывески площадью до 6,5 кв. м, не оснащенные внутренней подсветкой.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27.06.2013 N 621; в ред. </w:t>
      </w:r>
      <w:hyperlink r:id="rId6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05.02.2014 N 106)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С целью проверки соответствия вновь установленных средств наружной рекламы и информации проектной документации проводится их техническое обследование.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Техническое обследование проводится за счет сре</w:t>
      </w:r>
      <w:proofErr w:type="gramStart"/>
      <w:r>
        <w:rPr>
          <w:rFonts w:ascii="Calibri" w:hAnsi="Calibri" w:cs="Calibri"/>
        </w:rPr>
        <w:t>дств вл</w:t>
      </w:r>
      <w:proofErr w:type="gramEnd"/>
      <w:r>
        <w:rPr>
          <w:rFonts w:ascii="Calibri" w:hAnsi="Calibri" w:cs="Calibri"/>
        </w:rPr>
        <w:t>адельца средств наружной рекламы и информации организацией, имеющей свидетельство о допуске к выполнению проектных работ и работ по техническому обследованию зданий и сооружений, выданное саморегулируемой организацией в установленном порядке.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Заключение о результатах технического обследования представляется в Департамент </w:t>
      </w:r>
      <w:r>
        <w:rPr>
          <w:rFonts w:ascii="Calibri" w:hAnsi="Calibri" w:cs="Calibri"/>
        </w:rPr>
        <w:lastRenderedPageBreak/>
        <w:t>благоустройства и экологии Администрации городского округа Самара владельцем средств наружной рекламы и информации в течение трех дней со дня его проведения.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Периодическое техническое обследование средств наружной рекламы и информации, находящихся в эксплуатации, проводится не реже одного раза в 5 лет.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6.6. Департамент благоустройства и экологии Администрации городского округа Самара осуществляет контроль за соблюдением </w:t>
      </w:r>
      <w:proofErr w:type="gramStart"/>
      <w:r>
        <w:rPr>
          <w:rFonts w:ascii="Calibri" w:hAnsi="Calibri" w:cs="Calibri"/>
        </w:rPr>
        <w:t>сроков прохождения периодического технического обследования средств наружной рекламы</w:t>
      </w:r>
      <w:proofErr w:type="gramEnd"/>
      <w:r>
        <w:rPr>
          <w:rFonts w:ascii="Calibri" w:hAnsi="Calibri" w:cs="Calibri"/>
        </w:rPr>
        <w:t xml:space="preserve"> и информации в процессе их эксплуатации.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Контрольное техническое обследование средств наружной рекламы и информации проводится Департаментом благоустройства и экологии Администрации городского округа Самара с привлечением организации, имеющей свидетельство о допуске к выполнению проектных работ и работ по техническому обследованию зданий и сооружений, выданное саморегулируемой организацией в установленном порядке.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6.8. </w:t>
      </w:r>
      <w:proofErr w:type="gramStart"/>
      <w:r>
        <w:rPr>
          <w:rFonts w:ascii="Calibri" w:hAnsi="Calibri" w:cs="Calibri"/>
        </w:rPr>
        <w:t>Основаниями для проведения контрольного технического обследования являются аварийные ситуации либо их признаки, обращение в Департамент благоустройства и экологии Администрации городского округа Самара организаций в связи с выполнением ими своих функциональных обязанностей, а также выявление независимыми экспертными организациями или должностными лицами признаков несоответствия средств наружной рекламы и информации требованиям технического регламента или разрешения на установку.</w:t>
      </w:r>
      <w:proofErr w:type="gramEnd"/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Контрольное техническое обследование проводится с обязательным извещением владельцев средств наружной рекламы и информации о планируемых сроках проведения обследования, адресах объектов, подлежащих контрольному техническому обследованию, наименованиях организаций, выполняющих данные обследования.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При получении по результатам контрольного технического обследования средств наружной рекламы и информации отрицательного заключения их владелец обязан устранить выявленные при обследовании нарушения в течение трех дней, а в случае аварийной ситуации - в течение одного дня со дня получения отрицательного заключения.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 Требования к установке и демонтажу средств наружной рекламы и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6.11.1. Строительно-монтажные и электротехнические работы по установке и эксплуатации средств наружной рекламы и информации должны выполняться в соответствии с проектной документацией и при наличии разрешения на установку рекламной конструкции.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6.11.2. При выполнении работ по установке или демонтажу средств наружной рекламы и информации, размещению рекламной и иной информации на средствах наружной рекламы и информации в границах полос отвода автомобильных дорог, в том числе на проезжей части автомобильных дорог, должны быть соблюдены требования по обеспечению безопасности дорожного движения.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6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11.12.2012 N 1584)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6.11.3. В случае занятия проезжей части автомобильной дороги и необходимости временного закрытия или ограничения движения транспорта при установке или демонтаже средств наружной рекламы и информации, размещении рекламной и иной информации на средствах наружной рекламы и информации указанные действия должны производиться по согласованию с ОГИБДД УМВД РФ по городу Самаре.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6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11.12.2012 N 1584)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6.11.4. Установка или демонтаж средств наружной рекламы и информации на зданиях и сооружениях производится в присутствии представителей собственника имущества, к которому присоединяется (с которого демонтируется) средство наружной рекламы и информации, либо в его отсутствие - при наличии письменного уведомления собственника имущества о проведении таких работ.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6.11.5. После установки или демонтажа средств наружной рекламы и информации их владелец обязан за счет собственных средств восстановить объекты благоустройства, а также объект размещения в виде, близком к </w:t>
      </w:r>
      <w:proofErr w:type="gramStart"/>
      <w:r>
        <w:rPr>
          <w:rFonts w:ascii="Calibri" w:hAnsi="Calibri" w:cs="Calibri"/>
        </w:rPr>
        <w:t>первоначальному</w:t>
      </w:r>
      <w:proofErr w:type="gramEnd"/>
      <w:r>
        <w:rPr>
          <w:rFonts w:ascii="Calibri" w:hAnsi="Calibri" w:cs="Calibri"/>
        </w:rPr>
        <w:t>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6.11.6. В течение трех дней со дня завершения строительно-монтажных работ по установке или демонтажу средств наружной рекламы и информации их владелец обязан представить в Департамент благоустройства и экологии Администрации городского округа Самара заверенную копию акта выполненных работ, подписанного владельцем средств наружной рекламы и </w:t>
      </w:r>
      <w:r>
        <w:rPr>
          <w:rFonts w:ascii="Calibri" w:hAnsi="Calibri" w:cs="Calibri"/>
        </w:rPr>
        <w:lastRenderedPageBreak/>
        <w:t>информации и организацией, осуществлявшей строительно-монтажные работы.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6.11.7. Владелец средств наружной рекламы и информации несет ответственность за нарушение правил безопасности, а также за неисправности и аварийные ситуации, возникшие в процессе установки, эксплуатации и демонтажа средств наружной рекламы и информации, размещения рекламной и иной информации на средствах наружной рекламы и информации.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11.12.2012 N 1584)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первого заместителя Главы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 Самара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А.В.ПРЯМИЛОВ</w:t>
      </w: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F2086" w:rsidRDefault="006F20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F2086" w:rsidRDefault="006F208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D5ED7" w:rsidRDefault="009D5ED7">
      <w:bookmarkStart w:id="19" w:name="_GoBack"/>
      <w:bookmarkEnd w:id="19"/>
    </w:p>
    <w:sectPr w:rsidR="009D5ED7" w:rsidSect="002F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86"/>
    <w:rsid w:val="006F2086"/>
    <w:rsid w:val="007A1BA4"/>
    <w:rsid w:val="007C375A"/>
    <w:rsid w:val="009D5ED7"/>
    <w:rsid w:val="00F1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3D4E73EFD2A8B087E6C7C504FC617E39288F27E67886C5389E12B3D36311EBi3SCI" TargetMode="External"/><Relationship Id="rId18" Type="http://schemas.openxmlformats.org/officeDocument/2006/relationships/hyperlink" Target="consultantplus://offline/ref=473D4E73EFD2A8B087E6C7C504FC617E39288F27E77880C53C9E12B3D36311EB3C50080CB5C17C92BC1CC3i5SDI" TargetMode="External"/><Relationship Id="rId26" Type="http://schemas.openxmlformats.org/officeDocument/2006/relationships/hyperlink" Target="consultantplus://offline/ref=473D4E73EFD2A8B087E6C7C504FC617E39288F27E57083C03D9E12B3D36311EBi3SCI" TargetMode="External"/><Relationship Id="rId39" Type="http://schemas.openxmlformats.org/officeDocument/2006/relationships/hyperlink" Target="consultantplus://offline/ref=473D4E73EFD2A8B087E6C7C504FC617E39288F27E67187C03D9E12B3D36311EB3C50080CB5C17C92BC1CC1i5SBI" TargetMode="External"/><Relationship Id="rId21" Type="http://schemas.openxmlformats.org/officeDocument/2006/relationships/hyperlink" Target="consultantplus://offline/ref=473D4E73EFD2A8B087E6D9C812903D763E25D423EB728C9265C149EE84i6SAI" TargetMode="External"/><Relationship Id="rId34" Type="http://schemas.openxmlformats.org/officeDocument/2006/relationships/hyperlink" Target="consultantplus://offline/ref=473D4E73EFD2A8B087E6C7C504FC617E39288F27E67187C03D9E12B3D36311EB3C50080CB5C17C92BC1CC2i5SFI" TargetMode="External"/><Relationship Id="rId42" Type="http://schemas.openxmlformats.org/officeDocument/2006/relationships/hyperlink" Target="consultantplus://offline/ref=473D4E73EFD2A8B087E6C7C504FC617E39288F27E67685C3389E12B3D36311EB3C50080CB5C17C92BC1CC3i5S0I" TargetMode="External"/><Relationship Id="rId47" Type="http://schemas.openxmlformats.org/officeDocument/2006/relationships/hyperlink" Target="consultantplus://offline/ref=FFB78F7A6C0D1D5AA8747EAE8C849CDCF6AA21D3EA3100CCE1EAFED488203C6DC288E1C01F88A1BAF4AB25jBSAI" TargetMode="External"/><Relationship Id="rId50" Type="http://schemas.openxmlformats.org/officeDocument/2006/relationships/hyperlink" Target="consultantplus://offline/ref=FFB78F7A6C0D1D5AA8747EAE8C849CDCF6AA21D3EA3100CCE1EAFED488203C6DC288E1C01F88A1BAF4AB26jBSBI" TargetMode="External"/><Relationship Id="rId55" Type="http://schemas.openxmlformats.org/officeDocument/2006/relationships/hyperlink" Target="consultantplus://offline/ref=FFB78F7A6C0D1D5AA87460A39AE8C0D4F1A77CDFE63F0C9BB8B5A589DFj2S9I" TargetMode="External"/><Relationship Id="rId63" Type="http://schemas.openxmlformats.org/officeDocument/2006/relationships/hyperlink" Target="consultantplus://offline/ref=FFB78F7A6C0D1D5AA8747EAE8C849CDCF6AA21D3EA3100CCE1EAFED488203C6DC288E1C01F88A1BAF4AB27jBSFI" TargetMode="External"/><Relationship Id="rId68" Type="http://schemas.openxmlformats.org/officeDocument/2006/relationships/hyperlink" Target="consultantplus://offline/ref=FFB78F7A6C0D1D5AA8747EAE8C849CDCF6AA21D3EA3E07CAE5EAFED488203C6DC288E1C01F88A1BAF4AB25jBSCI" TargetMode="External"/><Relationship Id="rId7" Type="http://schemas.openxmlformats.org/officeDocument/2006/relationships/hyperlink" Target="consultantplus://offline/ref=473D4E73EFD2A8B087E6C7C504FC617E39288F27E77880C53C9E12B3D36311EB3C50080CB5C17C92BC1CC3i5SDI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3D4E73EFD2A8B087E6C7C504FC617E39288F27E17783C13B9E12B3D36311EBi3SCI" TargetMode="External"/><Relationship Id="rId29" Type="http://schemas.openxmlformats.org/officeDocument/2006/relationships/hyperlink" Target="consultantplus://offline/ref=473D4E73EFD2A8B087E6C7C504FC617E39288F27E67187C03D9E12B3D36311EB3C50080CB5C17C92BC1CC3i5S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3D4E73EFD2A8B087E6C7C504FC617E39288F27E77787C3389E12B3D36311EB3C50080CB5C17C92BC1CC3i5SDI" TargetMode="External"/><Relationship Id="rId11" Type="http://schemas.openxmlformats.org/officeDocument/2006/relationships/hyperlink" Target="consultantplus://offline/ref=473D4E73EFD2A8B087E6D9C812903D763E25D423E4788C9265C149EE846A1BBC7B1F514EF1CD7D9BiBS9I" TargetMode="External"/><Relationship Id="rId24" Type="http://schemas.openxmlformats.org/officeDocument/2006/relationships/hyperlink" Target="consultantplus://offline/ref=473D4E73EFD2A8B087E6D9C812903D763E25D32CE0748C9265C149EE84i6SAI" TargetMode="External"/><Relationship Id="rId32" Type="http://schemas.openxmlformats.org/officeDocument/2006/relationships/hyperlink" Target="consultantplus://offline/ref=473D4E73EFD2A8B087E6C7C504FC617E39288F27E67187C03D9E12B3D36311EB3C50080CB5C17C92BC1CC3i5S1I" TargetMode="External"/><Relationship Id="rId37" Type="http://schemas.openxmlformats.org/officeDocument/2006/relationships/hyperlink" Target="consultantplus://offline/ref=473D4E73EFD2A8B087E6C7C504FC617E39288F27E67187C03D9E12B3D36311EB3C50080CB5C17C92BC1CC2i5S1I" TargetMode="External"/><Relationship Id="rId40" Type="http://schemas.openxmlformats.org/officeDocument/2006/relationships/hyperlink" Target="consultantplus://offline/ref=473D4E73EFD2A8B087E6C7C504FC617E39288F27E77880C53C9E12B3D36311EB3C50080CB5C17C92BC1CC3i5SEI" TargetMode="External"/><Relationship Id="rId45" Type="http://schemas.openxmlformats.org/officeDocument/2006/relationships/hyperlink" Target="consultantplus://offline/ref=473D4E73EFD2A8B087E6C7C504FC617E39288F27E77880C53C9E12B3D36311EB3C50080CB5C17C92BC1CC2i5SBI" TargetMode="External"/><Relationship Id="rId53" Type="http://schemas.openxmlformats.org/officeDocument/2006/relationships/hyperlink" Target="consultantplus://offline/ref=FFB78F7A6C0D1D5AA8747EAE8C849CDCF6AA21D3EB3807C9E0EAFED488203C6DC288E1C01F88A1BAF4AB26jBSAI" TargetMode="External"/><Relationship Id="rId58" Type="http://schemas.openxmlformats.org/officeDocument/2006/relationships/hyperlink" Target="consultantplus://offline/ref=FFB78F7A6C0D1D5AA8747EAE8C849CDCF6AA21D3EB3807C9E0EAFED488203C6DC288E1C01F88A1BAF4AB23jBSBI" TargetMode="External"/><Relationship Id="rId66" Type="http://schemas.openxmlformats.org/officeDocument/2006/relationships/hyperlink" Target="consultantplus://offline/ref=FFB78F7A6C0D1D5AA8747EAE8C849CDCF6AA21D3EB3F05CAE5EAFED488203C6DC288E1C01F88A1BAF4AB25jBS7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73D4E73EFD2A8B087E6C7C504FC617E39288F27E47987CF6FC910E2866Di1S4I" TargetMode="External"/><Relationship Id="rId23" Type="http://schemas.openxmlformats.org/officeDocument/2006/relationships/hyperlink" Target="consultantplus://offline/ref=473D4E73EFD2A8B087E6D9C812903D763E25D223E5738C9265C149EE846A1BBC7B1F514EF1CC7C95iBS4I" TargetMode="External"/><Relationship Id="rId28" Type="http://schemas.openxmlformats.org/officeDocument/2006/relationships/hyperlink" Target="consultantplus://offline/ref=473D4E73EFD2A8B087E6C7C504FC617E39288F27E67187C03D9E12B3D36311EB3C50080CB5C17C92BC1CC3i5SEI" TargetMode="External"/><Relationship Id="rId36" Type="http://schemas.openxmlformats.org/officeDocument/2006/relationships/hyperlink" Target="consultantplus://offline/ref=473D4E73EFD2A8B087E6C7C504FC617E39288F27E57083C03D9E12B3D36311EB3C50080CB5C17C92BC15C6i5S8I" TargetMode="External"/><Relationship Id="rId49" Type="http://schemas.openxmlformats.org/officeDocument/2006/relationships/hyperlink" Target="consultantplus://offline/ref=FFB78F7A6C0D1D5AA8747EAE8C849CDCF6AA21D3EA3100CCE1EAFED488203C6DC288E1C01F88A1BAF4AB26jBSCI" TargetMode="External"/><Relationship Id="rId57" Type="http://schemas.openxmlformats.org/officeDocument/2006/relationships/hyperlink" Target="consultantplus://offline/ref=FFB78F7A6C0D1D5AA8747EAE8C849CDCF6AA21D3EB3F05CAE5EAFED488203C6DC288E1C01F88A1BAF4AB25jBS8I" TargetMode="External"/><Relationship Id="rId61" Type="http://schemas.openxmlformats.org/officeDocument/2006/relationships/hyperlink" Target="consultantplus://offline/ref=FFB78F7A6C0D1D5AA8747EAE8C849CDCF6AA21D3EA3100CCE1EAFED488203C6DC288E1C01F88A1BAF4AB26jBS9I" TargetMode="External"/><Relationship Id="rId10" Type="http://schemas.openxmlformats.org/officeDocument/2006/relationships/hyperlink" Target="consultantplus://offline/ref=473D4E73EFD2A8B087E6D9C812903D763E25D32DE7728C9265C149EE84i6SAI" TargetMode="External"/><Relationship Id="rId19" Type="http://schemas.openxmlformats.org/officeDocument/2006/relationships/hyperlink" Target="consultantplus://offline/ref=473D4E73EFD2A8B087E6C7C504FC617E39288F27E67187C03D9E12B3D36311EB3C50080CB5C17C92BC1CC3i5SDI" TargetMode="External"/><Relationship Id="rId31" Type="http://schemas.openxmlformats.org/officeDocument/2006/relationships/hyperlink" Target="consultantplus://offline/ref=473D4E73EFD2A8B087E6D9C812903D763E26D72BE1738C9265C149EE84i6SAI" TargetMode="External"/><Relationship Id="rId44" Type="http://schemas.openxmlformats.org/officeDocument/2006/relationships/hyperlink" Target="consultantplus://offline/ref=473D4E73EFD2A8B087E6C7C504FC617E39288F27E77880C53C9E12B3D36311EB3C50080CB5C17C92BC1CC3i5S1I" TargetMode="External"/><Relationship Id="rId52" Type="http://schemas.openxmlformats.org/officeDocument/2006/relationships/hyperlink" Target="consultantplus://offline/ref=FFB78F7A6C0D1D5AA8747EAE8C849CDCF6AA21D3EB3F05CAE5EAFED488203C6DC288E1C01F88A1BAF4AB25jBS9I" TargetMode="External"/><Relationship Id="rId60" Type="http://schemas.openxmlformats.org/officeDocument/2006/relationships/hyperlink" Target="consultantplus://offline/ref=FFB78F7A6C0D1D5AA8747EAE8C849CDCF6AA21D3EB3807C9E0EAFED488203C6DC288E1C01F88A1BAF4AB23jBS9I" TargetMode="External"/><Relationship Id="rId65" Type="http://schemas.openxmlformats.org/officeDocument/2006/relationships/hyperlink" Target="consultantplus://offline/ref=FFB78F7A6C0D1D5AA8747EAE8C849CDCF6AA21D3EB3807C9E0EAFED488203C6DC288E1C01F88A1BAF4AB23jBS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3D4E73EFD2A8B087E6C7C504FC617E39288F27E67685C3389E12B3D36311EB3C50080CB5C17C92BC1CC3i5SDI" TargetMode="External"/><Relationship Id="rId14" Type="http://schemas.openxmlformats.org/officeDocument/2006/relationships/hyperlink" Target="consultantplus://offline/ref=473D4E73EFD2A8B087E6C7C504FC617E39288F27E17182C0399E12B3D36311EBi3SCI" TargetMode="External"/><Relationship Id="rId22" Type="http://schemas.openxmlformats.org/officeDocument/2006/relationships/hyperlink" Target="consultantplus://offline/ref=473D4E73EFD2A8B087E6D9C812903D763E25D423E4788C9265C149EE846A1BBC7B1F514EF1CD7D9BiBS9I" TargetMode="External"/><Relationship Id="rId27" Type="http://schemas.openxmlformats.org/officeDocument/2006/relationships/hyperlink" Target="consultantplus://offline/ref=473D4E73EFD2A8B087E6D9C812903D763E20D72CE0778C9265C149EE84i6SAI" TargetMode="External"/><Relationship Id="rId30" Type="http://schemas.openxmlformats.org/officeDocument/2006/relationships/hyperlink" Target="consultantplus://offline/ref=473D4E73EFD2A8B087E6C7C504FC617E39288F27E67187C03D9E12B3D36311EB3C50080CB5C17C92BC1CC3i5S0I" TargetMode="External"/><Relationship Id="rId35" Type="http://schemas.openxmlformats.org/officeDocument/2006/relationships/hyperlink" Target="consultantplus://offline/ref=473D4E73EFD2A8B087E6D9C812903D763E25D223E5738C9265C149EE846A1BBC7B1F514EF1CC7C95iBS4I" TargetMode="External"/><Relationship Id="rId43" Type="http://schemas.openxmlformats.org/officeDocument/2006/relationships/hyperlink" Target="consultantplus://offline/ref=473D4E73EFD2A8B087E6D9C812903D763E25D22BEB768C9265C149EE84i6SAI" TargetMode="External"/><Relationship Id="rId48" Type="http://schemas.openxmlformats.org/officeDocument/2006/relationships/hyperlink" Target="consultantplus://offline/ref=FFB78F7A6C0D1D5AA8747EAE8C849CDCF6AA21D3EB3F05CAE5EAFED488203C6DC288E1C01F88A1BAF4AB24jBS6I" TargetMode="External"/><Relationship Id="rId56" Type="http://schemas.openxmlformats.org/officeDocument/2006/relationships/hyperlink" Target="consultantplus://offline/ref=FFB78F7A6C0D1D5AA8747EAE8C849CDCF6AA21D3EA3100CCE1EAFED488203C6DC288E1C01F88A1BAF4AB26jBSAI" TargetMode="External"/><Relationship Id="rId64" Type="http://schemas.openxmlformats.org/officeDocument/2006/relationships/hyperlink" Target="consultantplus://offline/ref=FFB78F7A6C0D1D5AA8747EAE8C849CDCF6AA21D3EA3100CCE1EAFED488203C6DC288E1C01F88A1BAF4AB27jBSFI" TargetMode="External"/><Relationship Id="rId69" Type="http://schemas.openxmlformats.org/officeDocument/2006/relationships/hyperlink" Target="consultantplus://offline/ref=FFB78F7A6C0D1D5AA8747EAE8C849CDCF6AA21D3EA3E07CAE5EAFED488203C6DC288E1C01F88A1BAF4AB25jBSBI" TargetMode="External"/><Relationship Id="rId8" Type="http://schemas.openxmlformats.org/officeDocument/2006/relationships/hyperlink" Target="consultantplus://offline/ref=473D4E73EFD2A8B087E6C7C504FC617E39288F27E67187C03D9E12B3D36311EB3C50080CB5C17C92BC1CC3i5SDI" TargetMode="External"/><Relationship Id="rId51" Type="http://schemas.openxmlformats.org/officeDocument/2006/relationships/hyperlink" Target="consultantplus://offline/ref=FFB78F7A6C0D1D5AA8747EAE8C849CDCF6AA21D3EB3F05CAE5EAFED488203C6DC288E1C01F88A1BAF4AB25jBSA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73D4E73EFD2A8B087E6D9C812903D763E25D223E5738C9265C149EE846A1BBC7B1F514EF1CC7C95iBS4I" TargetMode="External"/><Relationship Id="rId17" Type="http://schemas.openxmlformats.org/officeDocument/2006/relationships/hyperlink" Target="consultantplus://offline/ref=473D4E73EFD2A8B087E6C7C504FC617E39288F27E77787C3389E12B3D36311EB3C50080CB5C17C92BC1CC3i5SDI" TargetMode="External"/><Relationship Id="rId25" Type="http://schemas.openxmlformats.org/officeDocument/2006/relationships/hyperlink" Target="consultantplus://offline/ref=473D4E73EFD2A8B087E6C7C504FC617E39288F27E67882C33B9E12B3D36311EBi3SCI" TargetMode="External"/><Relationship Id="rId33" Type="http://schemas.openxmlformats.org/officeDocument/2006/relationships/hyperlink" Target="consultantplus://offline/ref=473D4E73EFD2A8B087E6C7C504FC617E39288F27E67187C03D9E12B3D36311EB3C50080CB5C17C92BC1CC2i5SCI" TargetMode="External"/><Relationship Id="rId38" Type="http://schemas.openxmlformats.org/officeDocument/2006/relationships/hyperlink" Target="consultantplus://offline/ref=473D4E73EFD2A8B087E6C7C504FC617E39288F27E67187C03D9E12B3D36311EB3C50080CB5C17C92BC1CC1i5S8I" TargetMode="External"/><Relationship Id="rId46" Type="http://schemas.openxmlformats.org/officeDocument/2006/relationships/hyperlink" Target="consultantplus://offline/ref=473D4E73EFD2A8B087E6C7C504FC617E39288F27E77880C53C9E12B3D36311EB3C50080CB5C17C92BC1CC2i5SCI" TargetMode="External"/><Relationship Id="rId59" Type="http://schemas.openxmlformats.org/officeDocument/2006/relationships/hyperlink" Target="consultantplus://offline/ref=FFB78F7A6C0D1D5AA8747EAE8C849CDCF6AA21D3EB3807C9E0EAFED488203C6DC288E1C01F88A1BAF4AB23jBS9I" TargetMode="External"/><Relationship Id="rId67" Type="http://schemas.openxmlformats.org/officeDocument/2006/relationships/hyperlink" Target="consultantplus://offline/ref=FFB78F7A6C0D1D5AA8747EAE8C849CDCF6AA21D3EA3E07CAE5EAFED488203C6DC288E1C01F88A1BAF4AB25jBSDI" TargetMode="External"/><Relationship Id="rId20" Type="http://schemas.openxmlformats.org/officeDocument/2006/relationships/hyperlink" Target="consultantplus://offline/ref=473D4E73EFD2A8B087E6C7C504FC617E39288F27E67685C3389E12B3D36311EB3C50080CB5C17C92BC1CC3i5SDI" TargetMode="External"/><Relationship Id="rId41" Type="http://schemas.openxmlformats.org/officeDocument/2006/relationships/hyperlink" Target="consultantplus://offline/ref=473D4E73EFD2A8B087E6C7C504FC617E39288F27E67685C3389E12B3D36311EB3C50080CB5C17C92BC1CC3i5SEI" TargetMode="External"/><Relationship Id="rId54" Type="http://schemas.openxmlformats.org/officeDocument/2006/relationships/hyperlink" Target="consultantplus://offline/ref=FFB78F7A6C0D1D5AA8747EAE8C849CDCF6AA21D3EB3807C9E0EAFED488203C6DC288E1C01F88A1BAF4AB26jBSAI" TargetMode="External"/><Relationship Id="rId62" Type="http://schemas.openxmlformats.org/officeDocument/2006/relationships/hyperlink" Target="consultantplus://offline/ref=FFB78F7A6C0D1D5AA8747EAE8C849CDCF6AA21D3EA3100CCE1EAFED488203C6DC288E1C01F88A1BAF4AB26jBS6I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7610</Words>
  <Characters>43378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2014-10-17T08:18:00Z</dcterms:created>
  <dcterms:modified xsi:type="dcterms:W3CDTF">2014-10-17T08:19:00Z</dcterms:modified>
</cp:coreProperties>
</file>